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ARAŞTIRMA–GELİŞTİRME (AR-GE) ALT PROSES KARTI</w:t>
      </w:r>
    </w:p>
    <w:p>
      <w:pPr>
        <w:spacing w:after="100"/>
      </w:pPr>
      <w:r>
        <w:rPr>
          <w:i/>
        </w:rPr>
        <w:t>Harran Üniversitesi PRS-0005 Araştırma-Geliştirme Prosesi ile ilişkili HDAM birim alt süreci | Osmanbey Laboratuvar Hayvanları Birimi ve Eyyübiye Çiftlik Hayvanları Birimi</w:t>
      </w:r>
    </w:p>
    <w:p>
      <w:pPr>
        <w:pStyle w:val="Heading1"/>
      </w:pPr>
      <w:r>
        <w:t>1. Prosesin amacı</w:t>
      </w:r>
    </w:p>
    <w:p>
      <w:pPr>
        <w:spacing w:after="100"/>
      </w:pPr>
      <w:r>
        <w:t>HDAM bünyesinde yürütülmek üzere başvurulan deney hayvanı araştırmalarına ait belge kontrolü, idari değerlendirme, kapasite planlaması, hayvan temini/kabulü, bakım ve barındırma, teknik destek, sağlık-refah izlemi ve deney sonlandırma işlemlerinin etik ilkelere, mevzuata ve kurumsal kurallara uygun ve kayıt altına alınabilir biçimde yürütülmesini sağlamak.</w:t>
      </w:r>
    </w:p>
    <w:p>
      <w:pPr>
        <w:pStyle w:val="Heading1"/>
      </w:pPr>
      <w:r>
        <w:t>2. Prosesin kapsamı ve sınırları</w:t>
      </w:r>
    </w:p>
    <w:p>
      <w:pPr>
        <w:spacing w:after="100"/>
      </w:pPr>
      <w:r>
        <w:t>Başvurunun HDAM’a iletilmesinden araştırmanın sonlandırılması, alan kullanımının tamamlanması ve kapanış kayıtlarının oluşturulmasına kadar yürütülen HDAM hizmetlerini kapsar. HADYEK’in etik değerlendirme ve karar alma yetkisi, bilimsel veri analizi, yayın/tez yazımı ve destekleyici kuruluşa bilimsel sonuç raporu sunulması proje yürütücüsünün ve ilgili kurumların sorumluluğundadır; HDAM bunları kendi ürettiği çıktılar olarak göstermez.</w:t>
      </w:r>
    </w:p>
    <w:p>
      <w:pPr>
        <w:pStyle w:val="Heading1"/>
      </w:pPr>
      <w:r>
        <w:t>3. Prosesin sorumluları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690"/>
      </w:tblGrid>
      <w:tr>
        <w:trPr>
          <w:tblHeader w:val="true"/>
        </w:trPr>
        <w:tc>
          <w:tcPr>
            <w:tcW w:type="dxa" w:w="2891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Görev / rol</w:t>
            </w:r>
          </w:p>
        </w:tc>
        <w:tc>
          <w:tcPr>
            <w:tcW w:type="dxa" w:w="6690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Sorumluluk sınırı</w:t>
            </w:r>
          </w:p>
        </w:tc>
      </w:tr>
      <w:tr>
        <w:tc>
          <w:tcPr>
            <w:tcW w:type="dxa" w:w="28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Merkez Müdürü / Müdürlük</w:t>
            </w:r>
          </w:p>
        </w:tc>
        <w:tc>
          <w:tcPr>
            <w:tcW w:type="dxa" w:w="669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Başvuru değerlendirmesinin idari koordinasyonu; kaynak tahsisi, görevlendirme ve üst yönetime sunulacak izleme sonuçları.</w:t>
            </w:r>
          </w:p>
        </w:tc>
      </w:tr>
      <w:tr>
        <w:tc>
          <w:tcPr>
            <w:tcW w:type="dxa" w:w="28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İlgili Müdür Yardımcısı</w:t>
            </w:r>
          </w:p>
        </w:tc>
        <w:tc>
          <w:tcPr>
            <w:tcW w:type="dxa" w:w="669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Birimler arasında koordinasyon; hizmet planlaması, iş akışı ve kayıt süreçlerinin izlenmesine destek.</w:t>
            </w:r>
          </w:p>
        </w:tc>
      </w:tr>
      <w:tr>
        <w:tc>
          <w:tcPr>
            <w:tcW w:type="dxa" w:w="28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Laboratuvar / Çiftlik Hayvanları Birimi sorumlu veteriner hekimi</w:t>
            </w:r>
          </w:p>
        </w:tc>
        <w:tc>
          <w:tcPr>
            <w:tcW w:type="dxa" w:w="669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Hayvan kabulü, uygunluk ve karantina değerlendirmesi, bakım-barındırma planlaması, refah/sağlık gözetimi ve ilgili teknik düzenlemeler.</w:t>
            </w:r>
          </w:p>
        </w:tc>
      </w:tr>
      <w:tr>
        <w:tc>
          <w:tcPr>
            <w:tcW w:type="dxa" w:w="28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Teknik ve destek personeli</w:t>
            </w:r>
          </w:p>
        </w:tc>
        <w:tc>
          <w:tcPr>
            <w:tcW w:type="dxa" w:w="669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Yalnızca görev tanımında ve yetkisinde bulunan bakım, hazırlık, hijyen, izleme ve destek faaliyetleri.</w:t>
            </w:r>
          </w:p>
        </w:tc>
      </w:tr>
      <w:tr>
        <w:tc>
          <w:tcPr>
            <w:tcW w:type="dxa" w:w="28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Araştırma yürütücüsü ve ekip</w:t>
            </w:r>
          </w:p>
        </w:tc>
        <w:tc>
          <w:tcPr>
            <w:tcW w:type="dxa" w:w="669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Geçerli etik onay, sertifika ve başvuru belgelerini sunma; onaylı deney protokolüne, iş güvenliğine, tesis kurallarına ve bildirim yükümlülüklerine uyma.</w:t>
            </w:r>
          </w:p>
        </w:tc>
      </w:tr>
      <w:tr>
        <w:tc>
          <w:tcPr>
            <w:tcW w:type="dxa" w:w="28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Üniversitenin yetkili idari/mali birimleri</w:t>
            </w:r>
          </w:p>
        </w:tc>
        <w:tc>
          <w:tcPr>
            <w:tcW w:type="dxa" w:w="669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Satın alma, tahsilat, taşınır ve diğer mali işlemleri kendi mevzuat ve yetki alanlarında yürütme.</w:t>
            </w:r>
          </w:p>
        </w:tc>
      </w:tr>
    </w:tbl>
    <w:p>
      <w:pPr>
        <w:spacing w:after="0"/>
      </w:pPr>
    </w:p>
    <w:p>
      <w:pPr>
        <w:pStyle w:val="Heading1"/>
      </w:pPr>
      <w:r>
        <w:t>4. İlişkili prosesler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tblHeader w:val="true"/>
        </w:trPr>
        <w:tc>
          <w:tcPr>
            <w:tcW w:type="dxa" w:w="4791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Etkilediği prosesler</w:t>
            </w:r>
          </w:p>
        </w:tc>
        <w:tc>
          <w:tcPr>
            <w:tcW w:type="dxa" w:w="4791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Etkilendiği prosesler</w:t>
            </w:r>
          </w:p>
        </w:tc>
      </w:tr>
      <w:tr>
        <w:tc>
          <w:tcPr>
            <w:tcW w:type="dxa" w:w="47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Eğitim-Öğretim: DHKS uygulamalı eğitimlerinden geri bildirim; Toplumsal Katkı: etik ve hayvan refahı farkındalığı; Ar-Ge: hizmet çıktıları ve proje altyapı kullanım verileri.</w:t>
            </w:r>
          </w:p>
        </w:tc>
        <w:tc>
          <w:tcPr>
            <w:tcW w:type="dxa" w:w="479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Kurumsal Yönetim ve Kalite Güvence: görevler, onay, KYS; İdari ve Teknik Destek: satın alma, cihaz bakımı, hizmetler; Eğitim-Öğretim: sertifika ve yetkinlik; Finansal Yönetim: ücret tarifesi ve tahsilat.</w:t>
            </w:r>
          </w:p>
        </w:tc>
      </w:tr>
    </w:tbl>
    <w:p>
      <w:pPr>
        <w:spacing w:after="0"/>
      </w:pPr>
    </w:p>
    <w:p>
      <w:pPr>
        <w:pStyle w:val="Heading1"/>
      </w:pPr>
      <w:r>
        <w:t>5. Prosesin planlanması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313"/>
      </w:tblGrid>
      <w:tr>
        <w:trPr>
          <w:tblHeader w:val="true"/>
        </w:trPr>
        <w:tc>
          <w:tcPr>
            <w:tcW w:type="dxa" w:w="2268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Alt unsur</w:t>
            </w:r>
          </w:p>
        </w:tc>
        <w:tc>
          <w:tcPr>
            <w:tcW w:type="dxa" w:w="7313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HDAM açısından tanım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Girdiler</w:t>
            </w:r>
          </w:p>
        </w:tc>
        <w:tc>
          <w:tcPr>
            <w:tcW w:type="dxa" w:w="731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HADYEK karar ve onaylı protokolü; başvuru ve çalışma taahhüt formları; araştırmacı kullanım sertifikaları; tür/sayı/süre bilgileri; kapasite ve teknik ihtiyaç; yürürlükteki ücret koşulları.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Kaynaklar</w:t>
            </w:r>
          </w:p>
        </w:tc>
        <w:tc>
          <w:tcPr>
            <w:tcW w:type="dxa" w:w="731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Osmanbey’de laboratuvar hayvanları; Eyyübiye’de çiftlik hayvanları araştırma/bakım alanları; yetkili veteriner hekim ve personel; kontrollü alanlar, yem/su, cihaz ve sarf malzemeler; onaylı bütçe ve idari destek.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Planlanan çıktılar</w:t>
            </w:r>
          </w:p>
        </w:tc>
        <w:tc>
          <w:tcPr>
            <w:tcW w:type="dxa" w:w="731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Değerlendirilmiş başvuru, onay/ret/eksiklik kaydı, hizmet ve alan kullanım planı, hayvan kabul ve bakım kayıtları, uygulama izleme kayıtları, sonlandırma formu ve kapanış kayıtları; uygun koşullarda projeden merkeze bildirilen yayın/tez bilgileri.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Süreç başlangıcı / bitişi</w:t>
            </w:r>
          </w:p>
        </w:tc>
        <w:tc>
          <w:tcPr>
            <w:tcW w:type="dxa" w:w="731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Başlangıç: HDAM’a eksiksiz başvuru iletilmesi. Bitiş: araştırmanın sonlandırılması, varlık/alan ve mali süreçlerin ilgili kayıtlarda kapatılması.</w:t>
            </w:r>
          </w:p>
        </w:tc>
      </w:tr>
    </w:tbl>
    <w:p>
      <w:pPr>
        <w:spacing w:after="0"/>
      </w:pPr>
    </w:p>
    <w:p>
      <w:pPr>
        <w:pStyle w:val="Heading1"/>
      </w:pPr>
      <w:r>
        <w:t>6. Prosesin uygulanması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5329"/>
        <w:gridCol w:w="2778"/>
      </w:tblGrid>
      <w:tr>
        <w:trPr>
          <w:tblHeader w:val="true"/>
        </w:trPr>
        <w:tc>
          <w:tcPr>
            <w:tcW w:type="dxa" w:w="1474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Aşama</w:t>
            </w:r>
          </w:p>
        </w:tc>
        <w:tc>
          <w:tcPr>
            <w:tcW w:type="dxa" w:w="5329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İşlem ve kontrol noktası</w:t>
            </w:r>
          </w:p>
        </w:tc>
        <w:tc>
          <w:tcPr>
            <w:tcW w:type="dxa" w:w="2778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Oluşacak kayıt</w:t>
            </w:r>
          </w:p>
        </w:tc>
      </w:tr>
      <w:tr>
        <w:tc>
          <w:tcPr>
            <w:tcW w:type="dxa" w:w="1474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1. Başvuru</w:t>
            </w:r>
          </w:p>
        </w:tc>
        <w:tc>
          <w:tcPr>
            <w:tcW w:type="dxa" w:w="532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Başvuru, etik onay ve proje/sertifika/taahhüt ekleri teslim alınır.</w:t>
            </w:r>
          </w:p>
        </w:tc>
        <w:tc>
          <w:tcPr>
            <w:tcW w:type="dxa" w:w="277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Başvuru formu ve belge kontrolü</w:t>
            </w:r>
          </w:p>
        </w:tc>
      </w:tr>
      <w:tr>
        <w:tc>
          <w:tcPr>
            <w:tcW w:type="dxa" w:w="1474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2. Ön değerlendirme</w:t>
            </w:r>
          </w:p>
        </w:tc>
        <w:tc>
          <w:tcPr>
            <w:tcW w:type="dxa" w:w="532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Mevzuat, belge bütünlüğü, kapasite, hayvan temini ve teknik ihtiyaç kontrol edilir; eksikler bildirilir.</w:t>
            </w:r>
          </w:p>
        </w:tc>
        <w:tc>
          <w:tcPr>
            <w:tcW w:type="dxa" w:w="277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Ön değerlendirme, eksiklik yazısı</w:t>
            </w:r>
          </w:p>
        </w:tc>
      </w:tr>
      <w:tr>
        <w:tc>
          <w:tcPr>
            <w:tcW w:type="dxa" w:w="1474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3. Karar / planlama</w:t>
            </w:r>
          </w:p>
        </w:tc>
        <w:tc>
          <w:tcPr>
            <w:tcW w:type="dxa" w:w="532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Müdürlük uygunluk ve kaynak planını değerlendirir; sorumlu veteriner hekim ile tarih, alan ve tahsis planı yapılır.</w:t>
            </w:r>
          </w:p>
        </w:tc>
        <w:tc>
          <w:tcPr>
            <w:tcW w:type="dxa" w:w="277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Uygunluk kararı, zaman/alan planı</w:t>
            </w:r>
          </w:p>
        </w:tc>
      </w:tr>
      <w:tr>
        <w:tc>
          <w:tcPr>
            <w:tcW w:type="dxa" w:w="1474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4. Kabul / hazırlık</w:t>
            </w:r>
          </w:p>
        </w:tc>
        <w:tc>
          <w:tcPr>
            <w:tcW w:type="dxa" w:w="532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Hayvanların izinli kaynaktan temini ve kabulü yapılır; dış kaynaklı hayvanlarda uygun karantina ve sağlık gözetimi belirlenir.</w:t>
            </w:r>
          </w:p>
        </w:tc>
        <w:tc>
          <w:tcPr>
            <w:tcW w:type="dxa" w:w="277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Hayvan kabul, karantina ve bakım kayıtları</w:t>
            </w:r>
          </w:p>
        </w:tc>
      </w:tr>
      <w:tr>
        <w:tc>
          <w:tcPr>
            <w:tcW w:type="dxa" w:w="1474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5. Yürütme / kontrol</w:t>
            </w:r>
          </w:p>
        </w:tc>
        <w:tc>
          <w:tcPr>
            <w:tcW w:type="dxa" w:w="532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Araştırmacı onaylı protokole göre çalışır; merkez bakım-refah, biyogüvenlik ve teknik destek kayıtlarını izler; değişiklikler önceden değerlendirilir.</w:t>
            </w:r>
          </w:p>
        </w:tc>
        <w:tc>
          <w:tcPr>
            <w:tcW w:type="dxa" w:w="277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Çalışma izleme defteri, bakım/refah kayıtları, değişiklik bildirimi</w:t>
            </w:r>
          </w:p>
        </w:tc>
      </w:tr>
      <w:tr>
        <w:tc>
          <w:tcPr>
            <w:tcW w:type="dxa" w:w="1474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6. Sonlandırma</w:t>
            </w:r>
          </w:p>
        </w:tc>
        <w:tc>
          <w:tcPr>
            <w:tcW w:type="dxa" w:w="5329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Sonlandırma formu alınır, alan ve hayvan işlemleri, atık/kadavra yönetimi ve ek bakım/mali kayıtlar kapatılır.</w:t>
            </w:r>
          </w:p>
        </w:tc>
        <w:tc>
          <w:tcPr>
            <w:tcW w:type="dxa" w:w="277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Sonlandırma formu, kapanış kayıtları</w:t>
            </w:r>
          </w:p>
        </w:tc>
      </w:tr>
    </w:tbl>
    <w:p>
      <w:pPr>
        <w:spacing w:after="0"/>
      </w:pPr>
    </w:p>
    <w:p>
      <w:pPr>
        <w:pStyle w:val="Heading1"/>
      </w:pPr>
      <w:r>
        <w:t>7. İlgili mevzuat ve referans dokümanlar</w:t>
      </w:r>
    </w:p>
    <w:p>
      <w:pPr>
        <w:spacing w:after="100"/>
      </w:pPr>
      <w:r>
        <w:t>İlgili hayvan deneyleri mevzuatı; Harran Üniversitesi HDAM Yönetmeliği; HADYEK kararları; üniversitenin PRS-0005 Ar-Ge ana prosesi; FRM-0348 Ana Prosesler Risk Analizi şablonu; HDAM’ın yürürlükteki araştırma iş akışı, hayvan deneyi talep/başlama, çalışma taahhüt ve sonlandırma formları; görev tanımları, biyogüvenlik ve atık yönetimi düzenlemeleri, güncel hizmet ücret tarifesi. Belge kodları ve revizyonları KYS ana doküman listesi üzerinden teyit edilir.</w:t>
      </w:r>
    </w:p>
    <w:p>
      <w:pPr>
        <w:pStyle w:val="Heading1"/>
      </w:pPr>
      <w:r>
        <w:t>8. Prosesin kontrolü: önerilen performans göstergeleri</w:t>
      </w:r>
    </w:p>
    <w:p>
      <w:pPr>
        <w:spacing w:after="100"/>
      </w:pPr>
      <w:r>
        <w:t>Aşağıdaki göstergeler HDAM süreç yönetiminin değerlendirilmesi amacıyla önerilmiştir. Onaylı birim hedefi ve güncel kaynak kayıtlarıyla doğrulanmadan resmî gerçekleşme/hedef olarak kullanılmaz.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5726"/>
        <w:gridCol w:w="1587"/>
      </w:tblGrid>
      <w:tr>
        <w:trPr>
          <w:tblHeader w:val="true"/>
        </w:trPr>
        <w:tc>
          <w:tcPr>
            <w:tcW w:type="dxa" w:w="2268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Gösterge</w:t>
            </w:r>
          </w:p>
        </w:tc>
        <w:tc>
          <w:tcPr>
            <w:tcW w:type="dxa" w:w="5726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Hesaplama / veri kaynağı</w:t>
            </w:r>
          </w:p>
        </w:tc>
        <w:tc>
          <w:tcPr>
            <w:tcW w:type="dxa" w:w="1587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4"/>
              </w:rPr>
              <w:t>İzleme önerisi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Başvuru belge uygunluğu</w:t>
            </w:r>
          </w:p>
        </w:tc>
        <w:tc>
          <w:tcPr>
            <w:tcW w:type="dxa" w:w="572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İlk kontrolde eksiksiz bulunan başvuru sayısı / toplam başvuru sayısı × 100; başvuru kontrol kayıtları.</w:t>
            </w:r>
          </w:p>
        </w:tc>
        <w:tc>
          <w:tcPr>
            <w:tcW w:type="dxa" w:w="158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6 aylık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Planlanan sürede kapanan çalışma oranı</w:t>
            </w:r>
          </w:p>
        </w:tc>
        <w:tc>
          <w:tcPr>
            <w:tcW w:type="dxa" w:w="572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Planlanan bitiş tarihine kadar kapanışı tamamlanan çalışma sayısı / tamamlanan toplam çalışma sayısı × 100; proje takip kayıtları.</w:t>
            </w:r>
          </w:p>
        </w:tc>
        <w:tc>
          <w:tcPr>
            <w:tcW w:type="dxa" w:w="158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6 aylık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Hayvan sağlık-refah izleme uygunluğu</w:t>
            </w:r>
          </w:p>
        </w:tc>
        <w:tc>
          <w:tcPr>
            <w:tcW w:type="dxa" w:w="572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Planlanan refah/sağlık kontrolünden tamamlananların oranı; günlük bakım-refah kayıtları.</w:t>
            </w:r>
          </w:p>
        </w:tc>
        <w:tc>
          <w:tcPr>
            <w:tcW w:type="dxa" w:w="158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3–6 aylık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Cihaz bakım planı gerçekleşme oranı</w:t>
            </w:r>
          </w:p>
        </w:tc>
        <w:tc>
          <w:tcPr>
            <w:tcW w:type="dxa" w:w="572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Süresi içinde yapılan bakım/kontrol sayısı / planlanan bakım/kontrol sayısı × 100; bakım kayıtları.</w:t>
            </w:r>
          </w:p>
        </w:tc>
        <w:tc>
          <w:tcPr>
            <w:tcW w:type="dxa" w:w="158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6 aylık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Tamamlanan düzeltici faaliyet oranı</w:t>
            </w:r>
          </w:p>
        </w:tc>
        <w:tc>
          <w:tcPr>
            <w:tcW w:type="dxa" w:w="572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Termininde etkinliği doğrulanan faaliyet sayısı / kapanması gereken faaliyet sayısı × 100; KYS/DÖF kayıtları.</w:t>
            </w:r>
          </w:p>
        </w:tc>
        <w:tc>
          <w:tcPr>
            <w:tcW w:type="dxa" w:w="158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6 aylık</w:t>
            </w:r>
          </w:p>
        </w:tc>
      </w:tr>
      <w:tr>
        <w:tc>
          <w:tcPr>
            <w:tcW w:type="dxa" w:w="226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HDAM bağlantılı bilimsel çıktı sayısı</w:t>
            </w:r>
          </w:p>
        </w:tc>
        <w:tc>
          <w:tcPr>
            <w:tcW w:type="dxa" w:w="5726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Merkezin altyapısını kullandığı doğrulanan ve merkeze bildirilen yayın/tez/bildiri sayısı.</w:t>
            </w:r>
          </w:p>
        </w:tc>
        <w:tc>
          <w:tcPr>
            <w:tcW w:type="dxa" w:w="1587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4"/>
              </w:rPr>
              <w:t>Yıllık</w:t>
            </w:r>
          </w:p>
        </w:tc>
      </w:tr>
    </w:tbl>
    <w:p>
      <w:pPr>
        <w:spacing w:after="0"/>
      </w:pPr>
    </w:p>
    <w:p>
      <w:pPr>
        <w:pStyle w:val="Heading1"/>
      </w:pPr>
      <w:r>
        <w:t>9. Prosesin değerlendirilmesi ve önlem aşaması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143"/>
      </w:tblGrid>
      <w:tr>
        <w:trPr>
          <w:tblHeader w:val="true"/>
        </w:trPr>
        <w:tc>
          <w:tcPr>
            <w:tcW w:type="dxa" w:w="2438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Unsurlar</w:t>
            </w:r>
          </w:p>
        </w:tc>
        <w:tc>
          <w:tcPr>
            <w:tcW w:type="dxa" w:w="7143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Yöntem</w:t>
            </w:r>
          </w:p>
        </w:tc>
      </w:tr>
      <w:tr>
        <w:tc>
          <w:tcPr>
            <w:tcW w:type="dxa" w:w="243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Değerlendirme metodu</w:t>
            </w:r>
          </w:p>
        </w:tc>
        <w:tc>
          <w:tcPr>
            <w:tcW w:type="dxa" w:w="714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Başvuru/proje takip kayıtları, bakım ve refah kayıtları, bakım-onarım raporları, KYS/DÖF verileri, iç tetkik, birim toplantıları ve YGG çıktıları.</w:t>
            </w:r>
          </w:p>
        </w:tc>
      </w:tr>
      <w:tr>
        <w:tc>
          <w:tcPr>
            <w:tcW w:type="dxa" w:w="243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Değerlendirme periyodu</w:t>
            </w:r>
          </w:p>
        </w:tc>
        <w:tc>
          <w:tcPr>
            <w:tcW w:type="dxa" w:w="714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İzleme göstergesine göre üç/altı aylık veya yıllık önerilen aralık; resmî periyot merkezce onaylanmalıdır.</w:t>
            </w:r>
          </w:p>
        </w:tc>
      </w:tr>
      <w:tr>
        <w:tc>
          <w:tcPr>
            <w:tcW w:type="dxa" w:w="243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Raporlama</w:t>
            </w:r>
          </w:p>
        </w:tc>
        <w:tc>
          <w:tcPr>
            <w:tcW w:type="dxa" w:w="714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İlgili sorumlu veteriner hekim / birim sorumluları → HDAM Müdürlüğü → ilgili üniversite birimleri ve kalite sistemi.</w:t>
            </w:r>
          </w:p>
        </w:tc>
      </w:tr>
      <w:tr>
        <w:tc>
          <w:tcPr>
            <w:tcW w:type="dxa" w:w="243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İyileştirme</w:t>
            </w:r>
          </w:p>
        </w:tc>
        <w:tc>
          <w:tcPr>
            <w:tcW w:type="dxa" w:w="714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  <w:shd w:fill="F4F8FA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Uygunsuzluk için neden analizi, sorumlu, termin, kanıt ve etkinlik doğrulaması; kararların takibi; gerektiğinde prosesin revizyonu.</w:t>
            </w:r>
          </w:p>
        </w:tc>
      </w:tr>
    </w:tbl>
    <w:p>
      <w:pPr>
        <w:spacing w:after="0"/>
      </w:pPr>
    </w:p>
    <w:p>
      <w:pPr>
        <w:pStyle w:val="Heading1"/>
      </w:pPr>
      <w:r>
        <w:t>10. Riskler ve fırsatlar</w:t>
      </w:r>
    </w:p>
    <w:p>
      <w:pPr>
        <w:spacing w:after="100"/>
      </w:pPr>
      <w:r>
        <w:t>İlgili risklerin ayrı FRM-0348 uyumlu HDAM risk analizi dosyasında mevcut durum, aksiyon, sorumlu, izleme kriteri ve doğrulanan artık risk bileşenleriyle izlenmesi önerilir. Başlıca alanlar: etik onay/belge eksikliği, hayvan refahı, biyogüvenlik ve karantina, enerji ve iklimlendirme kesintisi, malzeme temini, cihaz arızası, personel yetkinliği, atık yönetimi, proje süre aşımı ve KYS kayıt takibidir. Fırsatlar: disiplinler arası araştırma, eğitim kapasitesi, standart süreçler ve dijital kayıtların geliştirilmesi.</w:t>
      </w:r>
    </w:p>
    <w:p>
      <w:pPr>
        <w:pStyle w:val="Heading1"/>
      </w:pPr>
      <w:r>
        <w:t>11. Kontrol, onay ve revizyon kayıtları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175"/>
        <w:gridCol w:w="3231"/>
      </w:tblGrid>
      <w:tr>
        <w:trPr>
          <w:tblHeader w:val="true"/>
        </w:trPr>
        <w:tc>
          <w:tcPr>
            <w:tcW w:type="dxa" w:w="3175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Hazırlayan</w:t>
            </w:r>
          </w:p>
        </w:tc>
        <w:tc>
          <w:tcPr>
            <w:tcW w:type="dxa" w:w="3175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Kontrol eden</w:t>
            </w:r>
          </w:p>
        </w:tc>
        <w:tc>
          <w:tcPr>
            <w:tcW w:type="dxa" w:w="3231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Onaylayan</w:t>
            </w:r>
          </w:p>
        </w:tc>
      </w:tr>
      <w:tr>
        <w:tc>
          <w:tcPr>
            <w:tcW w:type="dxa" w:w="317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Adı–soyadı, unvanı ve imza: ................</w:t>
              <w:br/>
              <w:t>Tarih: .../.../......</w:t>
            </w:r>
          </w:p>
        </w:tc>
        <w:tc>
          <w:tcPr>
            <w:tcW w:type="dxa" w:w="3175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Adı–soyadı, unvanı ve imza: ................</w:t>
              <w:br/>
              <w:t>Tarih: .../.../......</w:t>
            </w:r>
          </w:p>
        </w:tc>
        <w:tc>
          <w:tcPr>
            <w:tcW w:type="dxa" w:w="323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Yetkili makam / imza: ................</w:t>
              <w:br/>
              <w:t>Tarih: .../.../......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1"/>
        <w:gridCol w:w="1928"/>
        <w:gridCol w:w="6293"/>
      </w:tblGrid>
      <w:tr>
        <w:trPr>
          <w:tblHeader w:val="true"/>
        </w:trPr>
        <w:tc>
          <w:tcPr>
            <w:tcW w:type="dxa" w:w="1361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Revizyon</w:t>
            </w:r>
          </w:p>
        </w:tc>
        <w:tc>
          <w:tcPr>
            <w:tcW w:type="dxa" w:w="1928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Tarih</w:t>
            </w:r>
          </w:p>
        </w:tc>
        <w:tc>
          <w:tcPr>
            <w:tcW w:type="dxa" w:w="6293"/>
            <w:shd w:fill="123D65"/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r>
              <w:rPr>
                <w:b/>
                <w:color w:val="FFFFFF"/>
                <w:sz w:val="15"/>
              </w:rPr>
              <w:t>Değişiklik açıklaması</w:t>
            </w:r>
          </w:p>
        </w:tc>
      </w:tr>
      <w:tr>
        <w:tc>
          <w:tcPr>
            <w:tcW w:type="dxa" w:w="1361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Taslak</w:t>
            </w:r>
          </w:p>
        </w:tc>
        <w:tc>
          <w:tcPr>
            <w:tcW w:type="dxa" w:w="1928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14.10.2026</w:t>
            </w:r>
          </w:p>
        </w:tc>
        <w:tc>
          <w:tcPr>
            <w:tcW w:type="dxa" w:w="6293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color="CAD5DF" w:sz="5"/>
              <w:left w:val="single" w:color="CAD5DF" w:sz="5"/>
              <w:bottom w:val="single" w:color="CAD5DF" w:sz="5"/>
              <w:right w:val="single" w:color="CAD5DF" w:sz="5"/>
            </w:tcBorders>
            <w:vAlign w:val="center"/>
          </w:tcPr>
          <w:p>
            <w:pPr>
              <w:spacing w:after="0" w:line="259" w:lineRule="auto"/>
            </w:pPr>
            <w:r>
              <w:rPr>
                <w:color w:val="243343"/>
                <w:sz w:val="15"/>
              </w:rPr>
              <w:t>Üniversite PRS-0005 örnek yapısı ve mevcut HDAM süreç belgeleri esas alınarak değerlendirmeye sunulmak üzere oluşturuldu.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134" w:bottom="1077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B7B"/>
        <w:sz w:val="14"/>
      </w:rPr>
      <w:t xml:space="preserve">HDAM | Kurum içi KYS taslağı — Resmî onay ve revizyon bilgileri tamamlanmadan yürürlüğe girmez.  •  Sayfa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5386"/>
      <w:gridCol w:w="2948"/>
    </w:tblGrid>
    <w:tr>
      <w:tc>
        <w:tcPr>
          <w:tcW w:type="dxa" w:w="3156"/>
          <w:tcBorders>
            <w:top w:val="single" w:color="CAD5DF" w:sz="5"/>
            <w:left w:val="single" w:color="CAD5DF" w:sz="5"/>
            <w:bottom w:val="single" w:color="CAD5DF" w:sz="5"/>
            <w:right w:val="single" w:color="CAD5DF" w:sz="5"/>
          </w:tcBorders>
          <w:tcMar>
            <w:top w:w="40" w:type="dxa"/>
            <w:start w:w="60" w:type="dxa"/>
            <w:bottom w:w="40" w:type="dxa"/>
            <w:end w:w="60" w:type="dxa"/>
          </w:tcMar>
          <w:vAlign w:val="center"/>
        </w:tcPr>
        <w:p>
          <w:r>
            <w:drawing>
              <wp:inline xmlns:a="http://schemas.openxmlformats.org/drawingml/2006/main" xmlns:pic="http://schemas.openxmlformats.org/drawingml/2006/picture">
                <wp:extent cx="511200" cy="511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university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1200" cy="511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156"/>
          <w:tcBorders>
            <w:top w:val="single" w:color="CAD5DF" w:sz="5"/>
            <w:left w:val="single" w:color="CAD5DF" w:sz="5"/>
            <w:bottom w:val="single" w:color="CAD5DF" w:sz="5"/>
            <w:right w:val="single" w:color="CAD5DF" w:sz="5"/>
          </w:tcBorders>
          <w:tcMar>
            <w:top w:w="40" w:type="dxa"/>
            <w:start w:w="60" w:type="dxa"/>
            <w:bottom w:w="40" w:type="dxa"/>
            <w:end w:w="60" w:type="dxa"/>
          </w:tcMar>
          <w:vAlign w:val="center"/>
        </w:tcPr>
        <w:p>
          <w:pPr>
            <w:jc w:val="center"/>
          </w:pPr>
          <w:r>
            <w:rPr>
              <w:rFonts w:ascii="Aptos" w:hAnsi="Aptos"/>
              <w:b/>
              <w:color w:val="0F375B"/>
              <w:sz w:val="16"/>
            </w:rPr>
            <w:t>T.C. HARRAN ÜNİVERSİTESİ</w:t>
            <w:br/>
          </w:r>
          <w:r>
            <w:rPr>
              <w:rFonts w:ascii="Aptos" w:hAnsi="Aptos"/>
              <w:b/>
              <w:color w:val="0F375B"/>
              <w:sz w:val="16"/>
            </w:rPr>
            <w:t>HAYVAN DENEYİ UYGULAMA VE ARAŞTIRMA MERKEZİ</w:t>
            <w:br/>
          </w:r>
          <w:r>
            <w:rPr>
              <w:rFonts w:ascii="Aptos" w:hAnsi="Aptos"/>
              <w:b/>
              <w:color w:val="0F375B"/>
              <w:sz w:val="16"/>
            </w:rPr>
            <w:t>AR-GE ALT PROSES KARTI</w:t>
            <w:br/>
          </w:r>
        </w:p>
      </w:tc>
      <w:tc>
        <w:tcPr>
          <w:tcW w:type="dxa" w:w="3156"/>
          <w:tcBorders>
            <w:top w:val="single" w:color="CAD5DF" w:sz="5"/>
            <w:left w:val="single" w:color="CAD5DF" w:sz="5"/>
            <w:bottom w:val="single" w:color="CAD5DF" w:sz="5"/>
            <w:right w:val="single" w:color="CAD5DF" w:sz="5"/>
          </w:tcBorders>
          <w:tcMar>
            <w:top w:w="40" w:type="dxa"/>
            <w:start w:w="60" w:type="dxa"/>
            <w:bottom w:w="40" w:type="dxa"/>
            <w:end w:w="60" w:type="dxa"/>
          </w:tcMar>
          <w:vAlign w:val="center"/>
        </w:tcPr>
        <w:p>
          <w:pPr>
            <w:spacing w:after="0"/>
          </w:pPr>
          <w:r>
            <w:rPr>
              <w:b w:val="0"/>
              <w:color w:val="1E3346"/>
              <w:sz w:val="14"/>
            </w:rPr>
            <w:t>Doküman No: KYS onayında atanacak</w:t>
            <w:br/>
          </w:r>
          <w:r>
            <w:rPr>
              <w:b w:val="0"/>
              <w:color w:val="1E3346"/>
              <w:sz w:val="14"/>
            </w:rPr>
            <w:t>Revizyon No: Onayda belirlenecek</w:t>
            <w:br/>
          </w:r>
          <w:r>
            <w:rPr>
              <w:b w:val="0"/>
              <w:color w:val="1E3346"/>
              <w:sz w:val="14"/>
            </w:rPr>
            <w:t>Yayın / revizyon tarihi: —</w:t>
            <w:br/>
          </w:r>
          <w:r>
            <w:rPr>
              <w:b/>
              <w:color w:val="1E3346"/>
              <w:sz w:val="14"/>
            </w:rPr>
            <w:t>Belge durumu: ONAY ÖNCESİ TASLAK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343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D3D6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5375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/>
      <w:b/>
      <w:color w:val="103358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