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İÇ KALİTE GÜVENCESİ MEKANİZMALARI</w:t>
      </w:r>
    </w:p>
    <w:p>
      <w:pPr>
        <w:pStyle w:val="Subtitle"/>
      </w:pPr>
      <w:r>
        <w:t>Sayfa 4056 • Yayıma hazırlık metni • 14.10.2026</w:t>
      </w:r>
    </w:p>
    <w:p>
      <w:pPr>
        <w:pStyle w:val="Heading1"/>
      </w:pPr>
      <w:r>
        <w:t>Kalite güvencesine yaklaşımımız</w:t>
      </w:r>
    </w:p>
    <w:p>
      <w:r>
        <w:t>Harran Üniversitesi Hayvan Deneyi Uygulama ve Araştırma Merkezi (HDAM), araştırma ve uygulama faaliyetlerini ilgili mevzuat, etik ilkeler, hayvan refahı ve kurumsal kalite yönetimi gereklilikleri doğrultusunda yürütmeyi esas almaktadır. Merkezimizin kalite güvencesi yaklaşımı; süreçlerin tanımlanması, kurumsal risklerin izlenmesi, performansın değerlendirilmesi, uygunsuzlukların kayıt altına alınması ve iyileştirme faaliyetlerinin sonuçlarının takip edilmesine dayanmaktadır.</w:t>
      </w:r>
    </w:p>
    <w:p>
      <w:pPr>
        <w:pStyle w:val="Heading1"/>
      </w:pPr>
      <w:r>
        <w:t>Birim prosesleri ve süreç dokümanları</w:t>
      </w:r>
    </w:p>
    <w:p>
      <w:r>
        <w:t>Merkez bünyesindeki araştırma, hayvan bakım ve barındırma, eğitim, idari destek ve doküman yönetimi faaliyetleri, birimimize özgü iş akışları ve süreç kayıtlarıyla ilişkilendirilir. Geçerli dokümanlar, onay ve revizyon kontrollerinin ardından erişime sunulur.</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fill="123053"/>
            <w:vAlign w:val="center"/>
          </w:tcPr>
          <w:p>
            <w:r>
              <w:rPr>
                <w:b/>
                <w:color w:val="FFFFFF"/>
                <w:sz w:val="17"/>
              </w:rPr>
              <w:t>PROSES / SÜREÇ</w:t>
            </w:r>
          </w:p>
        </w:tc>
        <w:tc>
          <w:tcPr>
            <w:tcW w:type="dxa" w:w="3249"/>
            <w:shd w:fill="123053"/>
            <w:vAlign w:val="center"/>
          </w:tcPr>
          <w:p>
            <w:r>
              <w:rPr>
                <w:b/>
                <w:color w:val="FFFFFF"/>
                <w:sz w:val="17"/>
              </w:rPr>
              <w:t>KAPSAM</w:t>
            </w:r>
          </w:p>
        </w:tc>
        <w:tc>
          <w:tcPr>
            <w:tcW w:type="dxa" w:w="3249"/>
            <w:shd w:fill="123053"/>
            <w:vAlign w:val="center"/>
          </w:tcPr>
          <w:p>
            <w:r>
              <w:rPr>
                <w:b/>
                <w:color w:val="FFFFFF"/>
                <w:sz w:val="17"/>
              </w:rPr>
              <w:t>İLGİLİ KAYIT / BELGE</w:t>
            </w:r>
          </w:p>
        </w:tc>
      </w:tr>
      <w:tr>
        <w:tc>
          <w:tcPr>
            <w:tcW w:type="dxa" w:w="3249"/>
            <w:vAlign w:val="center"/>
            <w:shd w:fill="F2F6F9"/>
          </w:tcPr>
          <w:p>
            <w:pPr>
              <w:spacing w:after="20" w:before="20"/>
            </w:pPr>
            <w:r>
              <w:rPr>
                <w:sz w:val="16"/>
              </w:rPr>
              <w:t>Ar-Ge alt prosesi</w:t>
            </w:r>
          </w:p>
        </w:tc>
        <w:tc>
          <w:tcPr>
            <w:tcW w:type="dxa" w:w="3249"/>
            <w:vAlign w:val="center"/>
            <w:shd w:fill="F2F6F9"/>
          </w:tcPr>
          <w:p>
            <w:pPr>
              <w:spacing w:after="20" w:before="20"/>
            </w:pPr>
            <w:r>
              <w:rPr>
                <w:sz w:val="16"/>
              </w:rPr>
              <w:t>Araştırma başvurusu, değerlendirme, uygulama, sonlandırma</w:t>
            </w:r>
          </w:p>
        </w:tc>
        <w:tc>
          <w:tcPr>
            <w:tcW w:type="dxa" w:w="3249"/>
            <w:vAlign w:val="center"/>
            <w:shd w:fill="F2F6F9"/>
          </w:tcPr>
          <w:p>
            <w:pPr>
              <w:spacing w:after="20" w:before="20"/>
            </w:pPr>
            <w:r>
              <w:rPr>
                <w:sz w:val="16"/>
              </w:rPr>
              <w:t>HDAM Ar-Ge Alt Proses Kartı</w:t>
            </w:r>
          </w:p>
        </w:tc>
      </w:tr>
      <w:tr>
        <w:tc>
          <w:tcPr>
            <w:tcW w:type="dxa" w:w="3249"/>
            <w:vAlign w:val="center"/>
          </w:tcPr>
          <w:p>
            <w:pPr>
              <w:spacing w:after="20" w:before="20"/>
            </w:pPr>
            <w:r>
              <w:rPr>
                <w:sz w:val="16"/>
              </w:rPr>
              <w:t>Hayvan bakımı ve refahı</w:t>
            </w:r>
          </w:p>
        </w:tc>
        <w:tc>
          <w:tcPr>
            <w:tcW w:type="dxa" w:w="3249"/>
            <w:vAlign w:val="center"/>
          </w:tcPr>
          <w:p>
            <w:pPr>
              <w:spacing w:after="20" w:before="20"/>
            </w:pPr>
            <w:r>
              <w:rPr>
                <w:sz w:val="16"/>
              </w:rPr>
              <w:t>Barındırma, sağlık ve refah izleme</w:t>
            </w:r>
          </w:p>
        </w:tc>
        <w:tc>
          <w:tcPr>
            <w:tcW w:type="dxa" w:w="3249"/>
            <w:vAlign w:val="center"/>
          </w:tcPr>
          <w:p>
            <w:pPr>
              <w:spacing w:after="20" w:before="20"/>
            </w:pPr>
            <w:r>
              <w:rPr>
                <w:sz w:val="16"/>
              </w:rPr>
              <w:t>Onaylı bakım ve refah kayıtları</w:t>
            </w:r>
          </w:p>
        </w:tc>
      </w:tr>
      <w:tr>
        <w:tc>
          <w:tcPr>
            <w:tcW w:type="dxa" w:w="3249"/>
            <w:vAlign w:val="center"/>
            <w:shd w:fill="F2F6F9"/>
          </w:tcPr>
          <w:p>
            <w:pPr>
              <w:spacing w:after="20" w:before="20"/>
            </w:pPr>
            <w:r>
              <w:rPr>
                <w:sz w:val="16"/>
              </w:rPr>
              <w:t>Araştırma başvuru süreci</w:t>
            </w:r>
          </w:p>
        </w:tc>
        <w:tc>
          <w:tcPr>
            <w:tcW w:type="dxa" w:w="3249"/>
            <w:vAlign w:val="center"/>
            <w:shd w:fill="F2F6F9"/>
          </w:tcPr>
          <w:p>
            <w:pPr>
              <w:spacing w:after="20" w:before="20"/>
            </w:pPr>
            <w:r>
              <w:rPr>
                <w:sz w:val="16"/>
              </w:rPr>
              <w:t>HADYEK onayı ve HDAM süreç planlaması</w:t>
            </w:r>
          </w:p>
        </w:tc>
        <w:tc>
          <w:tcPr>
            <w:tcW w:type="dxa" w:w="3249"/>
            <w:vAlign w:val="center"/>
            <w:shd w:fill="F2F6F9"/>
          </w:tcPr>
          <w:p>
            <w:pPr>
              <w:spacing w:after="20" w:before="20"/>
            </w:pPr>
            <w:r>
              <w:rPr>
                <w:sz w:val="16"/>
              </w:rPr>
              <w:t>İş akış şeması, başvuru/taahhüt/sonlandırma formları</w:t>
            </w:r>
          </w:p>
        </w:tc>
      </w:tr>
      <w:tr>
        <w:tc>
          <w:tcPr>
            <w:tcW w:type="dxa" w:w="3249"/>
            <w:vAlign w:val="center"/>
          </w:tcPr>
          <w:p>
            <w:pPr>
              <w:spacing w:after="20" w:before="20"/>
            </w:pPr>
            <w:r>
              <w:rPr>
                <w:sz w:val="16"/>
              </w:rPr>
              <w:t>Satın alma ve taşınır</w:t>
            </w:r>
          </w:p>
        </w:tc>
        <w:tc>
          <w:tcPr>
            <w:tcW w:type="dxa" w:w="3249"/>
            <w:vAlign w:val="center"/>
          </w:tcPr>
          <w:p>
            <w:pPr>
              <w:spacing w:after="20" w:before="20"/>
            </w:pPr>
            <w:r>
              <w:rPr>
                <w:sz w:val="16"/>
              </w:rPr>
              <w:t>İhtiyaç, alım, muayene-kabul ve kayıt</w:t>
            </w:r>
          </w:p>
        </w:tc>
        <w:tc>
          <w:tcPr>
            <w:tcW w:type="dxa" w:w="3249"/>
            <w:vAlign w:val="center"/>
          </w:tcPr>
          <w:p>
            <w:pPr>
              <w:spacing w:after="20" w:before="20"/>
            </w:pPr>
            <w:r>
              <w:rPr>
                <w:sz w:val="16"/>
              </w:rPr>
              <w:t>Satın alma prosedürü ve taşınır iş akışı</w:t>
            </w:r>
          </w:p>
        </w:tc>
      </w:tr>
      <w:tr>
        <w:tc>
          <w:tcPr>
            <w:tcW w:type="dxa" w:w="3249"/>
            <w:vAlign w:val="center"/>
            <w:shd w:fill="F2F6F9"/>
          </w:tcPr>
          <w:p>
            <w:pPr>
              <w:spacing w:after="20" w:before="20"/>
            </w:pPr>
            <w:r>
              <w:rPr>
                <w:sz w:val="16"/>
              </w:rPr>
              <w:t>Eğitim ve yetkinlik</w:t>
            </w:r>
          </w:p>
        </w:tc>
        <w:tc>
          <w:tcPr>
            <w:tcW w:type="dxa" w:w="3249"/>
            <w:vAlign w:val="center"/>
            <w:shd w:fill="F2F6F9"/>
          </w:tcPr>
          <w:p>
            <w:pPr>
              <w:spacing w:after="20" w:before="20"/>
            </w:pPr>
            <w:r>
              <w:rPr>
                <w:sz w:val="16"/>
              </w:rPr>
              <w:t>Kalite bilgilendirme, DHKS faaliyetleri</w:t>
            </w:r>
          </w:p>
        </w:tc>
        <w:tc>
          <w:tcPr>
            <w:tcW w:type="dxa" w:w="3249"/>
            <w:vAlign w:val="center"/>
            <w:shd w:fill="F2F6F9"/>
          </w:tcPr>
          <w:p>
            <w:pPr>
              <w:spacing w:after="20" w:before="20"/>
            </w:pPr>
            <w:r>
              <w:rPr>
                <w:sz w:val="16"/>
              </w:rPr>
              <w:t>Eğitim planı ve gerçekleşme kayıtları</w:t>
            </w:r>
          </w:p>
        </w:tc>
      </w:tr>
      <w:tr>
        <w:tc>
          <w:tcPr>
            <w:tcW w:type="dxa" w:w="3249"/>
            <w:vAlign w:val="center"/>
          </w:tcPr>
          <w:p>
            <w:pPr>
              <w:spacing w:after="20" w:before="20"/>
            </w:pPr>
            <w:r>
              <w:rPr>
                <w:sz w:val="16"/>
              </w:rPr>
              <w:t>Doküman ve kayıt yönetimi</w:t>
            </w:r>
          </w:p>
        </w:tc>
        <w:tc>
          <w:tcPr>
            <w:tcW w:type="dxa" w:w="3249"/>
            <w:vAlign w:val="center"/>
          </w:tcPr>
          <w:p>
            <w:pPr>
              <w:spacing w:after="20" w:before="20"/>
            </w:pPr>
            <w:r>
              <w:rPr>
                <w:sz w:val="16"/>
              </w:rPr>
              <w:t>Güncel sürümlerin kontrolü ve arşiv</w:t>
            </w:r>
          </w:p>
        </w:tc>
        <w:tc>
          <w:tcPr>
            <w:tcW w:type="dxa" w:w="3249"/>
            <w:vAlign w:val="center"/>
          </w:tcPr>
          <w:p>
            <w:pPr>
              <w:spacing w:after="20" w:before="20"/>
            </w:pPr>
            <w:r>
              <w:rPr>
                <w:sz w:val="16"/>
              </w:rPr>
              <w:t>Doküman listesi ve revizyon esasları</w:t>
            </w:r>
          </w:p>
        </w:tc>
      </w:tr>
      <w:tr>
        <w:tc>
          <w:tcPr>
            <w:tcW w:type="dxa" w:w="3249"/>
            <w:vAlign w:val="center"/>
            <w:shd w:fill="F2F6F9"/>
          </w:tcPr>
          <w:p>
            <w:pPr>
              <w:spacing w:after="20" w:before="20"/>
            </w:pPr>
            <w:r>
              <w:rPr>
                <w:sz w:val="16"/>
              </w:rPr>
              <w:t>Risk ve iyileştirme</w:t>
            </w:r>
          </w:p>
        </w:tc>
        <w:tc>
          <w:tcPr>
            <w:tcW w:type="dxa" w:w="3249"/>
            <w:vAlign w:val="center"/>
            <w:shd w:fill="F2F6F9"/>
          </w:tcPr>
          <w:p>
            <w:pPr>
              <w:spacing w:after="20" w:before="20"/>
            </w:pPr>
            <w:r>
              <w:rPr>
                <w:sz w:val="16"/>
              </w:rPr>
              <w:t>Risk önceliklendirme, DİF/DÖF, PUKÖ</w:t>
            </w:r>
          </w:p>
        </w:tc>
        <w:tc>
          <w:tcPr>
            <w:tcW w:type="dxa" w:w="3249"/>
            <w:vAlign w:val="center"/>
            <w:shd w:fill="F2F6F9"/>
          </w:tcPr>
          <w:p>
            <w:pPr>
              <w:spacing w:after="20" w:before="20"/>
            </w:pPr>
            <w:r>
              <w:rPr>
                <w:sz w:val="16"/>
              </w:rPr>
              <w:t>FRM-0348 ve onaylı iyileştirme kayıtları</w:t>
            </w:r>
          </w:p>
        </w:tc>
      </w:tr>
    </w:tbl>
    <w:p/>
    <w:p>
      <w:pPr>
        <w:pStyle w:val="Heading1"/>
      </w:pPr>
      <w:r>
        <w:t>Risk yönetimi ve önceliklendirme</w:t>
      </w:r>
    </w:p>
    <w:p>
      <w:r>
        <w:t>Birimimizin risk değerlendirmelerinde Harran Üniversitesinin güncel FRM-0348 Önceliklendirilmiş Risk Analizi yapısı esas alınır. Riskler, mevcut durum; risk giderme aksiyonu; sonuç ve artık risk bölümlerinde izlenir. Ayrıntılı risk değerlendirmesi ve hassas tesis bilgileri kurum içi KYS kayıtlarında tutulur; kamuya açık sayfada yalnızca yöntem ve uygun görülen özet bilgiler paylaşılır.</w:t>
      </w:r>
    </w:p>
    <w:p>
      <w:pPr>
        <w:pStyle w:val="Heading1"/>
      </w:pPr>
      <w:r>
        <w:t>Düzeltici ve iyileştirici faaliyetler (DİF / DÖF)</w:t>
      </w:r>
    </w:p>
    <w:p>
      <w:r>
        <w:t>İç tetkik, gözlem, olay bildirimi, paydaş geri bildirimi veya risk izlemesi sonucunda tespit edilen uygunsuzluklar ve geliştirme ihtiyaçları, kurumun geçerli düzeltici faaliyet prosedürü çerçevesinde değerlendirilir. Kayıtlarda uygunsuzluğun tanımı, kök neden analizi, alınacak tedbirler, sorumlu kişi, tamamlanma tarihi, uygulanma kanıtı ve etkinlik kontrolü izlenir. Tamamlanma ve kapatma işlemleri, yetkili kişinin değerlendirmesiyle kayıt altına alınır.</w:t>
      </w:r>
    </w:p>
    <w:p>
      <w:pPr>
        <w:pStyle w:val="Heading1"/>
      </w:pPr>
      <w:r>
        <w:t>PUKÖ döngüsü ile izleme ve sürekli iyileştirme</w:t>
      </w:r>
    </w:p>
    <w:p>
      <w:r>
        <w:t>HDAM, Planla–Uygula–Kontrol Et–Önlem Al (PUKÖ) yaklaşımıyla iyileştirme ihtiyaçlarını belirlemeyi, önlemleri uygulamayı, etkinliklerini somut verilerle kontrol etmeyi ve başarılı uygulamaları kalıcı hâle getirmeyi hedeflemektedir. Dört aşamasının tamamlandığı, kapanış onayı bulunan ve kişisel/hassas bilgi içermeyen bir örnek süreç, onay sonrasında bu sayfada yayımlanır.</w:t>
      </w:r>
    </w:p>
    <w:p>
      <w:pPr>
        <w:pStyle w:val="Heading1"/>
      </w:pPr>
      <w:r>
        <w:t>Yayımlanabilecek kanıtlar</w:t>
      </w:r>
    </w:p>
    <w:p>
      <w:r>
        <w:t>• Güncel, onaylı alt proses kartları ve yayımlanabilir iş akış şemaları</w:t>
        <w:br/>
        <w:t>• Risk analizinin yöntemi ve yayımlanabilir özet sonuçları</w:t>
        <w:br/>
        <w:t>• Onaylı DİF/DÖF prosedürü veya boş başvuru formu</w:t>
        <w:br/>
        <w:t>• PUKÖ döngüsü tamamlanmış, kanıt ve kapanış bilgileri doğrulanmış iyileştirme özeti</w:t>
        <w:br/>
        <w:t>• Yıllık kalite toplantıları ve performans değerlendirmelerinin kamuya açık özetleri</w:t>
      </w:r>
    </w:p>
    <w:p>
      <w:r>
        <w:t>Not: Belgelerin resmî asılları ve ayrıntılı denetim kayıtları KYS bünyesinde saklanır. Yayımlanacak sürümlerde kişisel veriler, tesis güvenliğine ilişkin hassas bilgiler ve kurum içi değerlendirme ayrıntıları ayıklanır.</w:t>
      </w:r>
    </w:p>
    <w:sectPr w:rsidR="00FC693F" w:rsidRPr="0006063C" w:rsidSect="00034616">
      <w:headerReference w:type="default" r:id="rId9"/>
      <w:footerReference w:type="default" r:id="rId10"/>
      <w:pgSz w:w="12240" w:h="15840"/>
      <w:pgMar w:top="1134" w:right="1247" w:bottom="992"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7616D"/>
        <w:sz w:val="16"/>
      </w:rPr>
      <w:t>KURUMSAL TASLAK  •  Onaylanmadan yürürlükteki belge olarak kullanılmaz.</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center"/>
    </w:pPr>
    <w:r>
      <w:t>T.C. HARRAN ÜNİVERSİTESİ  |  HAYVAN DENEYİ UYGULAMA VE ARAŞTIRMA MERKEZİ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12305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23053"/>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23053"/>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23053"/>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