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HARRAN UNIVERSITY</w:t>
        <w:br/>
        <w:t>SIVEREK FACULTY OF APPLIED SCIENCES</w:t>
        <w:br/>
        <w:t>DEPARTMENT OF INTERNATIONAL TRADE AND LOGISTICS</w:t>
        <w:br/>
        <w:t>UNDERGRADUATE PROGRAM COURSE CONTENTS</w:t>
      </w:r>
    </w:p>
    <w:p>
      <w:pPr>
        <w:jc w:val="center"/>
      </w:pPr>
      <w:r>
        <w:rPr>
          <w:b/>
          <w:sz w:val="24"/>
        </w:rPr>
        <w:t>SEMESTER 1</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2601101</w:t>
            </w:r>
          </w:p>
        </w:tc>
        <w:tc>
          <w:tcPr>
            <w:tcW w:type="dxa" w:w="2835"/>
            <w:vAlign w:val="top"/>
          </w:tcPr>
          <w:p>
            <w:pPr>
              <w:jc w:val="both"/>
            </w:pPr>
            <w:r>
              <w:rPr>
                <w:rFonts w:ascii="Arial" w:hAnsi="Arial"/>
                <w:sz w:val="18"/>
              </w:rPr>
              <w:t>Atatürk’s Principles and History of Turkish Revolution I</w:t>
            </w:r>
          </w:p>
        </w:tc>
        <w:tc>
          <w:tcPr>
            <w:tcW w:type="dxa" w:w="6236"/>
            <w:vAlign w:val="top"/>
          </w:tcPr>
          <w:p>
            <w:pPr>
              <w:jc w:val="both"/>
            </w:pPr>
            <w:r>
              <w:rPr>
                <w:rFonts w:ascii="Arial" w:hAnsi="Arial"/>
                <w:sz w:val="18"/>
              </w:rPr>
              <w:t>Atatürk’s life and personality; the fundamental principles of Atatürkism, including republicanism, nationalism, statism, populism, secularism and reformism; the historical background of the Turkish Revolution; political and social change in the late Ottoman Empire; and the general framework and significance of the Turkish War of Independence. The course provides a historical perspective on the foundation of modern Türkiye and the contemporary relevance of Atatürk’s principles.</w:t>
            </w:r>
          </w:p>
        </w:tc>
      </w:tr>
      <w:tr>
        <w:tc>
          <w:tcPr>
            <w:tcW w:type="dxa" w:w="1304"/>
            <w:vAlign w:val="top"/>
          </w:tcPr>
          <w:p>
            <w:pPr>
              <w:jc w:val="both"/>
            </w:pPr>
            <w:r>
              <w:rPr>
                <w:rFonts w:ascii="Arial" w:hAnsi="Arial"/>
                <w:sz w:val="18"/>
              </w:rPr>
              <w:t>2601102</w:t>
            </w:r>
          </w:p>
        </w:tc>
        <w:tc>
          <w:tcPr>
            <w:tcW w:type="dxa" w:w="2835"/>
            <w:vAlign w:val="top"/>
          </w:tcPr>
          <w:p>
            <w:pPr>
              <w:jc w:val="both"/>
            </w:pPr>
            <w:r>
              <w:rPr>
                <w:rFonts w:ascii="Arial" w:hAnsi="Arial"/>
                <w:sz w:val="18"/>
              </w:rPr>
              <w:t>Introduction to Economics I</w:t>
            </w:r>
          </w:p>
        </w:tc>
        <w:tc>
          <w:tcPr>
            <w:tcW w:type="dxa" w:w="6236"/>
            <w:vAlign w:val="top"/>
          </w:tcPr>
          <w:p>
            <w:pPr>
              <w:jc w:val="both"/>
            </w:pPr>
            <w:r>
              <w:rPr>
                <w:rFonts w:ascii="Arial" w:hAnsi="Arial"/>
                <w:sz w:val="18"/>
              </w:rPr>
              <w:t>Definition and basic concepts of economics; economic systems including capitalism, socialism and mixed economies; distinctions between microeconomics and macroeconomics; consumer and producer decision-making; supply and demand; market structures such as perfect competition, oligopoly and monopoly; resource allocation; productivity and efficiency. Students acquire the fundamental tools required to analyze economic events.</w:t>
            </w:r>
          </w:p>
        </w:tc>
      </w:tr>
      <w:tr>
        <w:tc>
          <w:tcPr>
            <w:tcW w:type="dxa" w:w="1304"/>
            <w:vAlign w:val="top"/>
          </w:tcPr>
          <w:p>
            <w:pPr>
              <w:jc w:val="both"/>
            </w:pPr>
            <w:r>
              <w:rPr>
                <w:rFonts w:ascii="Arial" w:hAnsi="Arial"/>
                <w:sz w:val="18"/>
              </w:rPr>
              <w:t>2601103</w:t>
            </w:r>
          </w:p>
        </w:tc>
        <w:tc>
          <w:tcPr>
            <w:tcW w:type="dxa" w:w="2835"/>
            <w:vAlign w:val="top"/>
          </w:tcPr>
          <w:p>
            <w:pPr>
              <w:jc w:val="both"/>
            </w:pPr>
            <w:r>
              <w:rPr>
                <w:rFonts w:ascii="Arial" w:hAnsi="Arial"/>
                <w:sz w:val="18"/>
              </w:rPr>
              <w:t>Introduction to Law I</w:t>
            </w:r>
          </w:p>
        </w:tc>
        <w:tc>
          <w:tcPr>
            <w:tcW w:type="dxa" w:w="6236"/>
            <w:vAlign w:val="top"/>
          </w:tcPr>
          <w:p>
            <w:pPr>
              <w:jc w:val="both"/>
            </w:pPr>
            <w:r>
              <w:rPr>
                <w:rFonts w:ascii="Arial" w:hAnsi="Arial"/>
                <w:sz w:val="18"/>
              </w:rPr>
              <w:t>Definition, scope and importance of law; principal sources of law, including legislation, custom and case law; distinctions between criminal and civil law; legal personality and rights; legal obligations and liabilities; application of legal rules to commercial transactions; and dispute-resolution mechanisms. The course establishes the legal foundations required in trade and logistics.</w:t>
            </w:r>
          </w:p>
        </w:tc>
      </w:tr>
      <w:tr>
        <w:tc>
          <w:tcPr>
            <w:tcW w:type="dxa" w:w="1304"/>
            <w:vAlign w:val="top"/>
          </w:tcPr>
          <w:p>
            <w:pPr>
              <w:jc w:val="both"/>
            </w:pPr>
            <w:r>
              <w:rPr>
                <w:rFonts w:ascii="Arial" w:hAnsi="Arial"/>
                <w:sz w:val="18"/>
              </w:rPr>
              <w:t>2601104</w:t>
            </w:r>
          </w:p>
        </w:tc>
        <w:tc>
          <w:tcPr>
            <w:tcW w:type="dxa" w:w="2835"/>
            <w:vAlign w:val="top"/>
          </w:tcPr>
          <w:p>
            <w:pPr>
              <w:jc w:val="both"/>
            </w:pPr>
            <w:r>
              <w:rPr>
                <w:rFonts w:ascii="Arial" w:hAnsi="Arial"/>
                <w:sz w:val="18"/>
              </w:rPr>
              <w:t>English I</w:t>
            </w:r>
          </w:p>
        </w:tc>
        <w:tc>
          <w:tcPr>
            <w:tcW w:type="dxa" w:w="6236"/>
            <w:vAlign w:val="top"/>
          </w:tcPr>
          <w:p>
            <w:pPr>
              <w:jc w:val="both"/>
            </w:pPr>
            <w:r>
              <w:rPr>
                <w:rFonts w:ascii="Arial" w:hAnsi="Arial"/>
                <w:sz w:val="18"/>
              </w:rPr>
              <w:t>Basic English grammar, including the present simple, present continuous, past simple and future forms; pronouns, adjectives and prepositions; basic sentence structure; simple written texts and forms; self-introduction and everyday conversation; asking and answering basic questions; pronunciation and listening practice; and essential English expressions used in the workplace.</w:t>
            </w:r>
          </w:p>
        </w:tc>
      </w:tr>
      <w:tr>
        <w:tc>
          <w:tcPr>
            <w:tcW w:type="dxa" w:w="1304"/>
            <w:vAlign w:val="top"/>
          </w:tcPr>
          <w:p>
            <w:pPr>
              <w:jc w:val="both"/>
            </w:pPr>
            <w:r>
              <w:rPr>
                <w:rFonts w:ascii="Arial" w:hAnsi="Arial"/>
                <w:sz w:val="18"/>
              </w:rPr>
              <w:t>2601105</w:t>
            </w:r>
          </w:p>
        </w:tc>
        <w:tc>
          <w:tcPr>
            <w:tcW w:type="dxa" w:w="2835"/>
            <w:vAlign w:val="top"/>
          </w:tcPr>
          <w:p>
            <w:pPr>
              <w:jc w:val="both"/>
            </w:pPr>
            <w:r>
              <w:rPr>
                <w:rFonts w:ascii="Arial" w:hAnsi="Arial"/>
                <w:sz w:val="18"/>
              </w:rPr>
              <w:t>Introduction to Business I</w:t>
            </w:r>
          </w:p>
        </w:tc>
        <w:tc>
          <w:tcPr>
            <w:tcW w:type="dxa" w:w="6236"/>
            <w:vAlign w:val="top"/>
          </w:tcPr>
          <w:p>
            <w:pPr>
              <w:jc w:val="both"/>
            </w:pPr>
            <w:r>
              <w:rPr>
                <w:rFonts w:ascii="Arial" w:hAnsi="Arial"/>
                <w:sz w:val="18"/>
              </w:rPr>
              <w:t>Definition and functions of business management, including planning, organizing, directing and controlling; organizational goals and mission; manufacturing, service and commercial enterprises; organizational structures and departmentalization; managerial levels and delegation; decision-making processes; business ethics and social responsibility. The course provides a comprehensive introduction to the operation of modern businesses.</w:t>
            </w:r>
          </w:p>
        </w:tc>
      </w:tr>
      <w:tr>
        <w:tc>
          <w:tcPr>
            <w:tcW w:type="dxa" w:w="1304"/>
            <w:vAlign w:val="top"/>
          </w:tcPr>
          <w:p>
            <w:pPr>
              <w:jc w:val="both"/>
            </w:pPr>
            <w:r>
              <w:rPr>
                <w:rFonts w:ascii="Arial" w:hAnsi="Arial"/>
                <w:sz w:val="18"/>
              </w:rPr>
              <w:t>2601106</w:t>
            </w:r>
          </w:p>
        </w:tc>
        <w:tc>
          <w:tcPr>
            <w:tcW w:type="dxa" w:w="2835"/>
            <w:vAlign w:val="top"/>
          </w:tcPr>
          <w:p>
            <w:pPr>
              <w:jc w:val="both"/>
            </w:pPr>
            <w:r>
              <w:rPr>
                <w:rFonts w:ascii="Arial" w:hAnsi="Arial"/>
                <w:sz w:val="18"/>
              </w:rPr>
              <w:t>General Accounting I</w:t>
            </w:r>
          </w:p>
        </w:tc>
        <w:tc>
          <w:tcPr>
            <w:tcW w:type="dxa" w:w="6236"/>
            <w:vAlign w:val="top"/>
          </w:tcPr>
          <w:p>
            <w:pPr>
              <w:jc w:val="both"/>
            </w:pPr>
            <w:r>
              <w:rPr>
                <w:rFonts w:ascii="Arial" w:hAnsi="Arial"/>
                <w:sz w:val="18"/>
              </w:rPr>
              <w:t>Definition, objectives and importance of accounting; the accounting equation; classification of accounts; double-entry bookkeeping and the basic accounting cycle; recording sales, purchases, expenses and revenues; T-accounts and chart of accounts; journal entries and posting to the general ledger; and accounting applications reflecting sector-specific business characteristics.</w:t>
            </w:r>
          </w:p>
        </w:tc>
      </w:tr>
      <w:tr>
        <w:tc>
          <w:tcPr>
            <w:tcW w:type="dxa" w:w="1304"/>
            <w:vAlign w:val="top"/>
          </w:tcPr>
          <w:p>
            <w:pPr>
              <w:jc w:val="both"/>
            </w:pPr>
            <w:r>
              <w:rPr>
                <w:rFonts w:ascii="Arial" w:hAnsi="Arial"/>
                <w:sz w:val="18"/>
              </w:rPr>
              <w:t>2601107</w:t>
            </w:r>
          </w:p>
        </w:tc>
        <w:tc>
          <w:tcPr>
            <w:tcW w:type="dxa" w:w="2835"/>
            <w:vAlign w:val="top"/>
          </w:tcPr>
          <w:p>
            <w:pPr>
              <w:jc w:val="both"/>
            </w:pPr>
            <w:r>
              <w:rPr>
                <w:rFonts w:ascii="Arial" w:hAnsi="Arial"/>
                <w:sz w:val="18"/>
              </w:rPr>
              <w:t>Turkish Language I</w:t>
            </w:r>
          </w:p>
        </w:tc>
        <w:tc>
          <w:tcPr>
            <w:tcW w:type="dxa" w:w="6236"/>
            <w:vAlign w:val="top"/>
          </w:tcPr>
          <w:p>
            <w:pPr>
              <w:jc w:val="both"/>
            </w:pPr>
            <w:r>
              <w:rPr>
                <w:rFonts w:ascii="Arial" w:hAnsi="Arial"/>
                <w:sz w:val="18"/>
              </w:rPr>
              <w:t>Fundamentals of Turkish grammar, phonetics, spelling and punctuation; word classes and sentence structure; nouns, verbs, adjectives, adverbs and prepositions; simple, compound and complex sentences; common expression errors and correction; word choice and semantic relations; language skills for effective communication; and foundations of academic writing.</w:t>
            </w:r>
          </w:p>
        </w:tc>
      </w:tr>
      <w:tr>
        <w:tc>
          <w:tcPr>
            <w:tcW w:type="dxa" w:w="1304"/>
            <w:vAlign w:val="top"/>
          </w:tcPr>
          <w:p>
            <w:pPr>
              <w:jc w:val="both"/>
            </w:pPr>
            <w:r>
              <w:rPr>
                <w:rFonts w:ascii="Arial" w:hAnsi="Arial"/>
                <w:sz w:val="18"/>
              </w:rPr>
              <w:t>2601108</w:t>
            </w:r>
          </w:p>
        </w:tc>
        <w:tc>
          <w:tcPr>
            <w:tcW w:type="dxa" w:w="2835"/>
            <w:vAlign w:val="top"/>
          </w:tcPr>
          <w:p>
            <w:pPr>
              <w:jc w:val="both"/>
            </w:pPr>
            <w:r>
              <w:rPr>
                <w:rFonts w:ascii="Arial" w:hAnsi="Arial"/>
                <w:sz w:val="18"/>
              </w:rPr>
              <w:t>Research and Presentation Techniques I</w:t>
            </w:r>
          </w:p>
        </w:tc>
        <w:tc>
          <w:tcPr>
            <w:tcW w:type="dxa" w:w="6236"/>
            <w:vAlign w:val="top"/>
          </w:tcPr>
          <w:p>
            <w:pPr>
              <w:jc w:val="both"/>
            </w:pPr>
            <w:r>
              <w:rPr>
                <w:rFonts w:ascii="Arial" w:hAnsi="Arial"/>
                <w:sz w:val="18"/>
              </w:rPr>
              <w:t>Core stages of research: selecting a topic, formulating research questions and hypotheses, searching primary and secondary sources, effective use of libraries and databases, evaluating source reliability, citation and referencing styles including APA, MLA and Chicago, preparing and delivering oral presentations, designing effective visual materials, and audience-engagement techniques.</w:t>
            </w:r>
          </w:p>
        </w:tc>
      </w:tr>
    </w:tbl>
    <w:p>
      <w:r>
        <w:br w:type="page"/>
      </w:r>
    </w:p>
    <w:p>
      <w:pPr>
        <w:jc w:val="center"/>
      </w:pPr>
      <w:r>
        <w:rPr>
          <w:b/>
          <w:sz w:val="24"/>
        </w:rPr>
        <w:t>SEMESTER 2</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2601201</w:t>
            </w:r>
          </w:p>
        </w:tc>
        <w:tc>
          <w:tcPr>
            <w:tcW w:type="dxa" w:w="2835"/>
            <w:vAlign w:val="top"/>
          </w:tcPr>
          <w:p>
            <w:pPr>
              <w:jc w:val="both"/>
            </w:pPr>
            <w:r>
              <w:rPr>
                <w:rFonts w:ascii="Arial" w:hAnsi="Arial"/>
                <w:sz w:val="18"/>
              </w:rPr>
              <w:t>Atatürk’s Principles and History of Turkish Revolution II</w:t>
            </w:r>
          </w:p>
        </w:tc>
        <w:tc>
          <w:tcPr>
            <w:tcW w:type="dxa" w:w="6236"/>
            <w:vAlign w:val="top"/>
          </w:tcPr>
          <w:p>
            <w:pPr>
              <w:jc w:val="both"/>
            </w:pPr>
            <w:r>
              <w:rPr>
                <w:rFonts w:ascii="Arial" w:hAnsi="Arial"/>
                <w:sz w:val="18"/>
              </w:rPr>
              <w:t>A detailed examination of Atatürk’s reforms in education, the judiciary, politics, law, economics, society and culture; legal and institutional reforms, including codification and the Civil Code; the alphabet reform; urban modernization and infrastructure; national historiography; westernization and modernity; the social effects of the reforms; and the process of pursuing the goal of contemporary civilization.</w:t>
            </w:r>
          </w:p>
        </w:tc>
      </w:tr>
      <w:tr>
        <w:tc>
          <w:tcPr>
            <w:tcW w:type="dxa" w:w="1304"/>
            <w:vAlign w:val="top"/>
          </w:tcPr>
          <w:p>
            <w:pPr>
              <w:jc w:val="both"/>
            </w:pPr>
            <w:r>
              <w:rPr>
                <w:rFonts w:ascii="Arial" w:hAnsi="Arial"/>
                <w:sz w:val="18"/>
              </w:rPr>
              <w:t>2601202</w:t>
            </w:r>
          </w:p>
        </w:tc>
        <w:tc>
          <w:tcPr>
            <w:tcW w:type="dxa" w:w="2835"/>
            <w:vAlign w:val="top"/>
          </w:tcPr>
          <w:p>
            <w:pPr>
              <w:jc w:val="both"/>
            </w:pPr>
            <w:r>
              <w:rPr>
                <w:rFonts w:ascii="Arial" w:hAnsi="Arial"/>
                <w:sz w:val="18"/>
              </w:rPr>
              <w:t>Introduction to Economics II</w:t>
            </w:r>
          </w:p>
        </w:tc>
        <w:tc>
          <w:tcPr>
            <w:tcW w:type="dxa" w:w="6236"/>
            <w:vAlign w:val="top"/>
          </w:tcPr>
          <w:p>
            <w:pPr>
              <w:jc w:val="both"/>
            </w:pPr>
            <w:r>
              <w:rPr>
                <w:rFonts w:ascii="Arial" w:hAnsi="Arial"/>
                <w:sz w:val="18"/>
              </w:rPr>
              <w:t>Macroeconomic analysis, including GDP, national income and expenditure measurement; unemployment rates and types; inflation and deflation; trade balance and current account; government budget and fiscal policy; monetary policy and central banking; economic growth and development strategies; international trade mechanisms; and causes and consequences of economic crises.</w:t>
            </w:r>
          </w:p>
        </w:tc>
      </w:tr>
      <w:tr>
        <w:tc>
          <w:tcPr>
            <w:tcW w:type="dxa" w:w="1304"/>
            <w:vAlign w:val="top"/>
          </w:tcPr>
          <w:p>
            <w:pPr>
              <w:jc w:val="both"/>
            </w:pPr>
            <w:r>
              <w:rPr>
                <w:rFonts w:ascii="Arial" w:hAnsi="Arial"/>
                <w:sz w:val="18"/>
              </w:rPr>
              <w:t>2601203</w:t>
            </w:r>
          </w:p>
        </w:tc>
        <w:tc>
          <w:tcPr>
            <w:tcW w:type="dxa" w:w="2835"/>
            <w:vAlign w:val="top"/>
          </w:tcPr>
          <w:p>
            <w:pPr>
              <w:jc w:val="both"/>
            </w:pPr>
            <w:r>
              <w:rPr>
                <w:rFonts w:ascii="Arial" w:hAnsi="Arial"/>
                <w:sz w:val="18"/>
              </w:rPr>
              <w:t>Introduction to Law II</w:t>
            </w:r>
          </w:p>
        </w:tc>
        <w:tc>
          <w:tcPr>
            <w:tcW w:type="dxa" w:w="6236"/>
            <w:vAlign w:val="top"/>
          </w:tcPr>
          <w:p>
            <w:pPr>
              <w:jc w:val="both"/>
            </w:pPr>
            <w:r>
              <w:rPr>
                <w:rFonts w:ascii="Arial" w:hAnsi="Arial"/>
                <w:sz w:val="18"/>
              </w:rPr>
              <w:t>International trade law, including international sales contracts and the CISG, Incoterms and commercial terms; formation, provisions and termination of contracts; consumer protection; protection of trade names and trade secrets; fundamentals of insurance law; contracts of carriage; bills of lading and insurance policies; and an introduction to mediation and arbitration in dispute resolution.</w:t>
            </w:r>
          </w:p>
        </w:tc>
      </w:tr>
      <w:tr>
        <w:tc>
          <w:tcPr>
            <w:tcW w:type="dxa" w:w="1304"/>
            <w:vAlign w:val="top"/>
          </w:tcPr>
          <w:p>
            <w:pPr>
              <w:jc w:val="both"/>
            </w:pPr>
            <w:r>
              <w:rPr>
                <w:rFonts w:ascii="Arial" w:hAnsi="Arial"/>
                <w:sz w:val="18"/>
              </w:rPr>
              <w:t>2601204</w:t>
            </w:r>
          </w:p>
        </w:tc>
        <w:tc>
          <w:tcPr>
            <w:tcW w:type="dxa" w:w="2835"/>
            <w:vAlign w:val="top"/>
          </w:tcPr>
          <w:p>
            <w:pPr>
              <w:jc w:val="both"/>
            </w:pPr>
            <w:r>
              <w:rPr>
                <w:rFonts w:ascii="Arial" w:hAnsi="Arial"/>
                <w:sz w:val="18"/>
              </w:rPr>
              <w:t>English II</w:t>
            </w:r>
          </w:p>
        </w:tc>
        <w:tc>
          <w:tcPr>
            <w:tcW w:type="dxa" w:w="6236"/>
            <w:vAlign w:val="top"/>
          </w:tcPr>
          <w:p>
            <w:pPr>
              <w:jc w:val="both"/>
            </w:pPr>
            <w:r>
              <w:rPr>
                <w:rFonts w:ascii="Arial" w:hAnsi="Arial"/>
                <w:sz w:val="18"/>
              </w:rPr>
              <w:t>Advanced English grammar, including conditionals, reported speech, passive voice and perfect tenses; academic and professional writing; business correspondence such as formal letters, e-mails, quotations and orders; technical terminology; reading comprehension and summarization; language of discussion and negotiation; pronunciation and speaking practice; and communication strategies for professional settings.</w:t>
            </w:r>
          </w:p>
        </w:tc>
      </w:tr>
      <w:tr>
        <w:tc>
          <w:tcPr>
            <w:tcW w:type="dxa" w:w="1304"/>
            <w:vAlign w:val="top"/>
          </w:tcPr>
          <w:p>
            <w:pPr>
              <w:jc w:val="both"/>
            </w:pPr>
            <w:r>
              <w:rPr>
                <w:rFonts w:ascii="Arial" w:hAnsi="Arial"/>
                <w:sz w:val="18"/>
              </w:rPr>
              <w:t>2601205</w:t>
            </w:r>
          </w:p>
        </w:tc>
        <w:tc>
          <w:tcPr>
            <w:tcW w:type="dxa" w:w="2835"/>
            <w:vAlign w:val="top"/>
          </w:tcPr>
          <w:p>
            <w:pPr>
              <w:jc w:val="both"/>
            </w:pPr>
            <w:r>
              <w:rPr>
                <w:rFonts w:ascii="Arial" w:hAnsi="Arial"/>
                <w:sz w:val="18"/>
              </w:rPr>
              <w:t>Introduction to Business II</w:t>
            </w:r>
          </w:p>
        </w:tc>
        <w:tc>
          <w:tcPr>
            <w:tcW w:type="dxa" w:w="6236"/>
            <w:vAlign w:val="top"/>
          </w:tcPr>
          <w:p>
            <w:pPr>
              <w:jc w:val="both"/>
            </w:pPr>
            <w:r>
              <w:rPr>
                <w:rFonts w:ascii="Arial" w:hAnsi="Arial"/>
                <w:sz w:val="18"/>
              </w:rPr>
              <w:t>Business strategy and competition, including SWOT analysis, Porter’s Five Forces and value-chain analysis; market segmentation and target markets; product life cycle; pricing strategies; sales and marketing functions; customer relationship management; competitor analysis; sustainable competitive advantage; and business performance measures and KPIs.</w:t>
            </w:r>
          </w:p>
        </w:tc>
      </w:tr>
      <w:tr>
        <w:tc>
          <w:tcPr>
            <w:tcW w:type="dxa" w:w="1304"/>
            <w:vAlign w:val="top"/>
          </w:tcPr>
          <w:p>
            <w:pPr>
              <w:jc w:val="both"/>
            </w:pPr>
            <w:r>
              <w:rPr>
                <w:rFonts w:ascii="Arial" w:hAnsi="Arial"/>
                <w:sz w:val="18"/>
              </w:rPr>
              <w:t>2601206</w:t>
            </w:r>
          </w:p>
        </w:tc>
        <w:tc>
          <w:tcPr>
            <w:tcW w:type="dxa" w:w="2835"/>
            <w:vAlign w:val="top"/>
          </w:tcPr>
          <w:p>
            <w:pPr>
              <w:jc w:val="both"/>
            </w:pPr>
            <w:r>
              <w:rPr>
                <w:rFonts w:ascii="Arial" w:hAnsi="Arial"/>
                <w:sz w:val="18"/>
              </w:rPr>
              <w:t>General Accounting II</w:t>
            </w:r>
          </w:p>
        </w:tc>
        <w:tc>
          <w:tcPr>
            <w:tcW w:type="dxa" w:w="6236"/>
            <w:vAlign w:val="top"/>
          </w:tcPr>
          <w:p>
            <w:pPr>
              <w:jc w:val="both"/>
            </w:pPr>
            <w:r>
              <w:rPr>
                <w:rFonts w:ascii="Arial" w:hAnsi="Arial"/>
                <w:sz w:val="18"/>
              </w:rPr>
              <w:t>Preparation and analysis of financial statements, including the income statement, balance sheet and cash-flow statement; relevant accounting standards; related parties and introduction to consolidation; asset valuation and depreciation; financial reporting principles; independent audit and auditor’s reports; review of accounting records; fundamentals of tax accounting; and cost-related accounting applications.</w:t>
            </w:r>
          </w:p>
        </w:tc>
      </w:tr>
      <w:tr>
        <w:tc>
          <w:tcPr>
            <w:tcW w:type="dxa" w:w="1304"/>
            <w:vAlign w:val="top"/>
          </w:tcPr>
          <w:p>
            <w:pPr>
              <w:jc w:val="both"/>
            </w:pPr>
            <w:r>
              <w:rPr>
                <w:rFonts w:ascii="Arial" w:hAnsi="Arial"/>
                <w:sz w:val="18"/>
              </w:rPr>
              <w:t>2601207</w:t>
            </w:r>
          </w:p>
        </w:tc>
        <w:tc>
          <w:tcPr>
            <w:tcW w:type="dxa" w:w="2835"/>
            <w:vAlign w:val="top"/>
          </w:tcPr>
          <w:p>
            <w:pPr>
              <w:jc w:val="both"/>
            </w:pPr>
            <w:r>
              <w:rPr>
                <w:rFonts w:ascii="Arial" w:hAnsi="Arial"/>
                <w:sz w:val="18"/>
              </w:rPr>
              <w:t>Turkish Language II</w:t>
            </w:r>
          </w:p>
        </w:tc>
        <w:tc>
          <w:tcPr>
            <w:tcW w:type="dxa" w:w="6236"/>
            <w:vAlign w:val="top"/>
          </w:tcPr>
          <w:p>
            <w:pPr>
              <w:jc w:val="both"/>
            </w:pPr>
            <w:r>
              <w:rPr>
                <w:rFonts w:ascii="Arial" w:hAnsi="Arial"/>
                <w:sz w:val="18"/>
              </w:rPr>
              <w:t>Text linguistics and textual analysis; explanatory, argumentative and narrative texts; textual structure and cohesion; paragraph development; title construction and identification of main ideas; scientific and research writing; literary text analysis; CVs, motivation letters and articles; editing and proofreading; academic ethics and plagiarism.</w:t>
            </w:r>
          </w:p>
        </w:tc>
      </w:tr>
      <w:tr>
        <w:tc>
          <w:tcPr>
            <w:tcW w:type="dxa" w:w="1304"/>
            <w:vAlign w:val="top"/>
          </w:tcPr>
          <w:p>
            <w:pPr>
              <w:jc w:val="both"/>
            </w:pPr>
            <w:r>
              <w:rPr>
                <w:rFonts w:ascii="Arial" w:hAnsi="Arial"/>
                <w:sz w:val="18"/>
              </w:rPr>
              <w:t>2601208</w:t>
            </w:r>
          </w:p>
        </w:tc>
        <w:tc>
          <w:tcPr>
            <w:tcW w:type="dxa" w:w="2835"/>
            <w:vAlign w:val="top"/>
          </w:tcPr>
          <w:p>
            <w:pPr>
              <w:jc w:val="both"/>
            </w:pPr>
            <w:r>
              <w:rPr>
                <w:rFonts w:ascii="Arial" w:hAnsi="Arial"/>
                <w:sz w:val="18"/>
              </w:rPr>
              <w:t>Research and Presentation Techniques II</w:t>
            </w:r>
          </w:p>
        </w:tc>
        <w:tc>
          <w:tcPr>
            <w:tcW w:type="dxa" w:w="6236"/>
            <w:vAlign w:val="top"/>
          </w:tcPr>
          <w:p>
            <w:pPr>
              <w:jc w:val="both"/>
            </w:pPr>
            <w:r>
              <w:rPr>
                <w:rFonts w:ascii="Arial" w:hAnsi="Arial"/>
                <w:sz w:val="18"/>
              </w:rPr>
              <w:t>Statistical analysis and graphical presentation, including distributions, mean and standard deviation; frequency and cross-tabulation tables; bar, pie, line and scatter charts; interpretation of data; presentation of research findings; academic posters and poster sessions; scientific article standards; reference-management software such as Mendeley and Zotero; and preparation of in-depth research reports.</w:t>
            </w:r>
          </w:p>
        </w:tc>
      </w:tr>
    </w:tbl>
    <w:p>
      <w:r>
        <w:br w:type="page"/>
      </w:r>
    </w:p>
    <w:p>
      <w:pPr>
        <w:jc w:val="center"/>
      </w:pPr>
      <w:r>
        <w:rPr>
          <w:b/>
          <w:sz w:val="24"/>
        </w:rPr>
        <w:t>SEMESTER 3</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2601301</w:t>
            </w:r>
          </w:p>
        </w:tc>
        <w:tc>
          <w:tcPr>
            <w:tcW w:type="dxa" w:w="2835"/>
            <w:vAlign w:val="top"/>
          </w:tcPr>
          <w:p>
            <w:pPr>
              <w:jc w:val="both"/>
            </w:pPr>
            <w:r>
              <w:rPr>
                <w:rFonts w:ascii="Arial" w:hAnsi="Arial"/>
                <w:sz w:val="18"/>
              </w:rPr>
              <w:t>English III</w:t>
            </w:r>
          </w:p>
        </w:tc>
        <w:tc>
          <w:tcPr>
            <w:tcW w:type="dxa" w:w="6236"/>
            <w:vAlign w:val="top"/>
          </w:tcPr>
          <w:p>
            <w:pPr>
              <w:jc w:val="both"/>
            </w:pPr>
            <w:r>
              <w:rPr>
                <w:rFonts w:ascii="Arial" w:hAnsi="Arial"/>
                <w:sz w:val="18"/>
              </w:rPr>
              <w:t>Business English focusing on commercial correspondence, sales and marketing communication, quotations and orders, logistics terminology for sea, road and air transport, customs and export documentation, international trade agreements, negotiation correspondence, transport documents, insurance documents, and professional business vocabulary.</w:t>
            </w:r>
          </w:p>
        </w:tc>
      </w:tr>
      <w:tr>
        <w:tc>
          <w:tcPr>
            <w:tcW w:type="dxa" w:w="1304"/>
            <w:vAlign w:val="top"/>
          </w:tcPr>
          <w:p>
            <w:pPr>
              <w:jc w:val="both"/>
            </w:pPr>
            <w:r>
              <w:rPr>
                <w:rFonts w:ascii="Arial" w:hAnsi="Arial"/>
                <w:sz w:val="18"/>
              </w:rPr>
              <w:t>2601302</w:t>
            </w:r>
          </w:p>
        </w:tc>
        <w:tc>
          <w:tcPr>
            <w:tcW w:type="dxa" w:w="2835"/>
            <w:vAlign w:val="top"/>
          </w:tcPr>
          <w:p>
            <w:pPr>
              <w:jc w:val="both"/>
            </w:pPr>
            <w:r>
              <w:rPr>
                <w:rFonts w:ascii="Arial" w:hAnsi="Arial"/>
                <w:sz w:val="18"/>
              </w:rPr>
              <w:t>International Trade, Money and Finance I</w:t>
            </w:r>
          </w:p>
        </w:tc>
        <w:tc>
          <w:tcPr>
            <w:tcW w:type="dxa" w:w="6236"/>
            <w:vAlign w:val="top"/>
          </w:tcPr>
          <w:p>
            <w:pPr>
              <w:jc w:val="both"/>
            </w:pPr>
            <w:r>
              <w:rPr>
                <w:rFonts w:ascii="Arial" w:hAnsi="Arial"/>
                <w:sz w:val="18"/>
              </w:rPr>
              <w:t>International trade theories including absolute and comparative advantage and the Heckscher–Ohlin model; trade flows; foreign-exchange markets and spot/forward transactions; the international monetary system and Bretton Woods; IMF, World Bank and WTO; balance of payments; tariffs and non-tariff barriers; trade agreements and economic integration.</w:t>
            </w:r>
          </w:p>
        </w:tc>
      </w:tr>
      <w:tr>
        <w:tc>
          <w:tcPr>
            <w:tcW w:type="dxa" w:w="1304"/>
            <w:vAlign w:val="top"/>
          </w:tcPr>
          <w:p>
            <w:pPr>
              <w:jc w:val="both"/>
            </w:pPr>
            <w:r>
              <w:rPr>
                <w:rFonts w:ascii="Arial" w:hAnsi="Arial"/>
                <w:sz w:val="18"/>
              </w:rPr>
              <w:t>2601303</w:t>
            </w:r>
          </w:p>
        </w:tc>
        <w:tc>
          <w:tcPr>
            <w:tcW w:type="dxa" w:w="2835"/>
            <w:vAlign w:val="top"/>
          </w:tcPr>
          <w:p>
            <w:pPr>
              <w:jc w:val="both"/>
            </w:pPr>
            <w:r>
              <w:rPr>
                <w:rFonts w:ascii="Arial" w:hAnsi="Arial"/>
                <w:sz w:val="18"/>
              </w:rPr>
              <w:t>Introduction to Business Finance I</w:t>
            </w:r>
          </w:p>
        </w:tc>
        <w:tc>
          <w:tcPr>
            <w:tcW w:type="dxa" w:w="6236"/>
            <w:vAlign w:val="top"/>
          </w:tcPr>
          <w:p>
            <w:pPr>
              <w:jc w:val="both"/>
            </w:pPr>
            <w:r>
              <w:rPr>
                <w:rFonts w:ascii="Arial" w:hAnsi="Arial"/>
                <w:sz w:val="18"/>
              </w:rPr>
              <w:t>Functions and objectives of business finance; liquidity, profitability and financing ratios; short-term finance and working-capital management; long-term sources of finance; budgeting and cash budgets; investment decisions and capital budgeting; financial planning, forecasting, risk management and financial controls.</w:t>
            </w:r>
          </w:p>
        </w:tc>
      </w:tr>
      <w:tr>
        <w:tc>
          <w:tcPr>
            <w:tcW w:type="dxa" w:w="1304"/>
            <w:vAlign w:val="top"/>
          </w:tcPr>
          <w:p>
            <w:pPr>
              <w:jc w:val="both"/>
            </w:pPr>
            <w:r>
              <w:rPr>
                <w:rFonts w:ascii="Arial" w:hAnsi="Arial"/>
                <w:sz w:val="18"/>
              </w:rPr>
              <w:t>2601304</w:t>
            </w:r>
          </w:p>
        </w:tc>
        <w:tc>
          <w:tcPr>
            <w:tcW w:type="dxa" w:w="2835"/>
            <w:vAlign w:val="top"/>
          </w:tcPr>
          <w:p>
            <w:pPr>
              <w:jc w:val="both"/>
            </w:pPr>
            <w:r>
              <w:rPr>
                <w:rFonts w:ascii="Arial" w:hAnsi="Arial"/>
                <w:sz w:val="18"/>
              </w:rPr>
              <w:t>Logistics and Commercial Law I</w:t>
            </w:r>
          </w:p>
        </w:tc>
        <w:tc>
          <w:tcPr>
            <w:tcW w:type="dxa" w:w="6236"/>
            <w:vAlign w:val="top"/>
          </w:tcPr>
          <w:p>
            <w:pPr>
              <w:jc w:val="both"/>
            </w:pPr>
            <w:r>
              <w:rPr>
                <w:rFonts w:ascii="Arial" w:hAnsi="Arial"/>
                <w:sz w:val="18"/>
              </w:rPr>
              <w:t>Legal framework of logistics operations; rights and liabilities by mode of transport; bills of lading and other transport documents; carrier, consignor and consignee responsibilities; transport insurance; drafting and interpretation of commercial contracts; Incoterms including CIF, FOB and DDP; arbitration and mediation.</w:t>
            </w:r>
          </w:p>
        </w:tc>
      </w:tr>
      <w:tr>
        <w:tc>
          <w:tcPr>
            <w:tcW w:type="dxa" w:w="1304"/>
            <w:vAlign w:val="top"/>
          </w:tcPr>
          <w:p>
            <w:pPr>
              <w:jc w:val="both"/>
            </w:pPr>
            <w:r>
              <w:rPr>
                <w:rFonts w:ascii="Arial" w:hAnsi="Arial"/>
                <w:sz w:val="18"/>
              </w:rPr>
              <w:t>2601305</w:t>
            </w:r>
          </w:p>
        </w:tc>
        <w:tc>
          <w:tcPr>
            <w:tcW w:type="dxa" w:w="2835"/>
            <w:vAlign w:val="top"/>
          </w:tcPr>
          <w:p>
            <w:pPr>
              <w:jc w:val="both"/>
            </w:pPr>
            <w:r>
              <w:rPr>
                <w:rFonts w:ascii="Arial" w:hAnsi="Arial"/>
                <w:sz w:val="18"/>
              </w:rPr>
              <w:t>Road Freight Transport and Logistics Operations Management I</w:t>
            </w:r>
          </w:p>
        </w:tc>
        <w:tc>
          <w:tcPr>
            <w:tcW w:type="dxa" w:w="6236"/>
            <w:vAlign w:val="top"/>
          </w:tcPr>
          <w:p>
            <w:pPr>
              <w:jc w:val="both"/>
            </w:pPr>
            <w:r>
              <w:rPr>
                <w:rFonts w:ascii="Arial" w:hAnsi="Arial"/>
                <w:sz w:val="18"/>
              </w:rPr>
              <w:t>Characteristics of road logistics; vehicle and fleet management; route planning and optimization; fuel consumption and operating costs; driver and carrier responsibilities; capacity planning; road-network and traffic management; hours-of-service rules; green logistics; GPS and tracking systems; cargo insurance.</w:t>
            </w:r>
          </w:p>
        </w:tc>
      </w:tr>
      <w:tr>
        <w:tc>
          <w:tcPr>
            <w:tcW w:type="dxa" w:w="1304"/>
            <w:vAlign w:val="top"/>
          </w:tcPr>
          <w:p>
            <w:pPr>
              <w:jc w:val="both"/>
            </w:pPr>
            <w:r>
              <w:rPr>
                <w:rFonts w:ascii="Arial" w:hAnsi="Arial"/>
                <w:sz w:val="18"/>
              </w:rPr>
              <w:t>2601306</w:t>
            </w:r>
          </w:p>
        </w:tc>
        <w:tc>
          <w:tcPr>
            <w:tcW w:type="dxa" w:w="2835"/>
            <w:vAlign w:val="top"/>
          </w:tcPr>
          <w:p>
            <w:pPr>
              <w:jc w:val="both"/>
            </w:pPr>
            <w:r>
              <w:rPr>
                <w:rFonts w:ascii="Arial" w:hAnsi="Arial"/>
                <w:sz w:val="18"/>
              </w:rPr>
              <w:t>Management and Organization</w:t>
            </w:r>
          </w:p>
        </w:tc>
        <w:tc>
          <w:tcPr>
            <w:tcW w:type="dxa" w:w="6236"/>
            <w:vAlign w:val="top"/>
          </w:tcPr>
          <w:p>
            <w:pPr>
              <w:jc w:val="both"/>
            </w:pPr>
            <w:r>
              <w:rPr>
                <w:rFonts w:ascii="Arial" w:hAnsi="Arial"/>
                <w:sz w:val="18"/>
              </w:rPr>
              <w:t>Evolution of management theories from classical and neoclassical to behavioral and modern approaches; planning, organizing, directing and controlling; hierarchical, matrix and project structures; fundamentals of human resources; job analysis; staffing; leadership; motivation theories; teamwork; organizational culture and change management.</w:t>
            </w:r>
          </w:p>
        </w:tc>
      </w:tr>
      <w:tr>
        <w:tc>
          <w:tcPr>
            <w:tcW w:type="dxa" w:w="1304"/>
            <w:vAlign w:val="top"/>
          </w:tcPr>
          <w:p>
            <w:pPr>
              <w:jc w:val="both"/>
            </w:pPr>
            <w:r>
              <w:rPr>
                <w:rFonts w:ascii="Arial" w:hAnsi="Arial"/>
                <w:sz w:val="18"/>
              </w:rPr>
              <w:t>2601307</w:t>
            </w:r>
          </w:p>
        </w:tc>
        <w:tc>
          <w:tcPr>
            <w:tcW w:type="dxa" w:w="2835"/>
            <w:vAlign w:val="top"/>
          </w:tcPr>
          <w:p>
            <w:pPr>
              <w:jc w:val="both"/>
            </w:pPr>
            <w:r>
              <w:rPr>
                <w:rFonts w:ascii="Arial" w:hAnsi="Arial"/>
                <w:sz w:val="18"/>
              </w:rPr>
              <w:t>Financial Statement Analysis</w:t>
            </w:r>
          </w:p>
        </w:tc>
        <w:tc>
          <w:tcPr>
            <w:tcW w:type="dxa" w:w="6236"/>
            <w:vAlign w:val="top"/>
          </w:tcPr>
          <w:p>
            <w:pPr>
              <w:jc w:val="both"/>
            </w:pPr>
            <w:r>
              <w:rPr>
                <w:rFonts w:ascii="Arial" w:hAnsi="Arial"/>
                <w:sz w:val="18"/>
              </w:rPr>
              <w:t>Structure and components of financial statements; horizontal and vertical analysis; liquidity, activity, profitability and leverage ratios; ROE and ROA; DuPont analysis; comparative analysis; profitability assessment; credit rating and financial forecasting.</w:t>
            </w:r>
          </w:p>
        </w:tc>
      </w:tr>
      <w:tr>
        <w:tc>
          <w:tcPr>
            <w:tcW w:type="dxa" w:w="1304"/>
            <w:vAlign w:val="top"/>
          </w:tcPr>
          <w:p>
            <w:pPr>
              <w:jc w:val="both"/>
            </w:pPr>
            <w:r>
              <w:rPr>
                <w:rFonts w:ascii="Arial" w:hAnsi="Arial"/>
                <w:sz w:val="18"/>
              </w:rPr>
              <w:t>2601308</w:t>
            </w:r>
          </w:p>
        </w:tc>
        <w:tc>
          <w:tcPr>
            <w:tcW w:type="dxa" w:w="2835"/>
            <w:vAlign w:val="top"/>
          </w:tcPr>
          <w:p>
            <w:pPr>
              <w:jc w:val="both"/>
            </w:pPr>
            <w:r>
              <w:rPr>
                <w:rFonts w:ascii="Arial" w:hAnsi="Arial"/>
                <w:sz w:val="18"/>
              </w:rPr>
              <w:t>Statistics</w:t>
            </w:r>
          </w:p>
        </w:tc>
        <w:tc>
          <w:tcPr>
            <w:tcW w:type="dxa" w:w="6236"/>
            <w:vAlign w:val="top"/>
          </w:tcPr>
          <w:p>
            <w:pPr>
              <w:jc w:val="both"/>
            </w:pPr>
            <w:r>
              <w:rPr>
                <w:rFonts w:ascii="Arial" w:hAnsi="Arial"/>
                <w:sz w:val="18"/>
              </w:rPr>
              <w:t>Descriptive statistics; data collection and classification; mean, median and mode; variance and standard deviation; probability theory; dependent and independent events; normal, binomial and Poisson distributions; central limit theorem; confidence intervals; t-tests, chi-square and ANOVA; Excel and SPSS applications.</w:t>
            </w:r>
          </w:p>
        </w:tc>
      </w:tr>
      <w:tr>
        <w:tc>
          <w:tcPr>
            <w:tcW w:type="dxa" w:w="1304"/>
            <w:vAlign w:val="top"/>
          </w:tcPr>
          <w:p>
            <w:pPr>
              <w:jc w:val="both"/>
            </w:pPr>
            <w:r>
              <w:rPr>
                <w:rFonts w:ascii="Arial" w:hAnsi="Arial"/>
                <w:sz w:val="18"/>
              </w:rPr>
              <w:t>2601309</w:t>
            </w:r>
          </w:p>
        </w:tc>
        <w:tc>
          <w:tcPr>
            <w:tcW w:type="dxa" w:w="2835"/>
            <w:vAlign w:val="top"/>
          </w:tcPr>
          <w:p>
            <w:pPr>
              <w:jc w:val="both"/>
            </w:pPr>
            <w:r>
              <w:rPr>
                <w:rFonts w:ascii="Arial" w:hAnsi="Arial"/>
                <w:sz w:val="18"/>
              </w:rPr>
              <w:t>Professional English I</w:t>
            </w:r>
          </w:p>
        </w:tc>
        <w:tc>
          <w:tcPr>
            <w:tcW w:type="dxa" w:w="6236"/>
            <w:vAlign w:val="top"/>
          </w:tcPr>
          <w:p>
            <w:pPr>
              <w:jc w:val="both"/>
            </w:pPr>
            <w:r>
              <w:rPr>
                <w:rFonts w:ascii="Arial" w:hAnsi="Arial"/>
                <w:sz w:val="18"/>
              </w:rPr>
              <w:t>Technical vocabulary for logistics and trade; warehousing and shipment terminology; English for customs and tax procedures; logistics report writing; supply-chain terminology; project-management English; business presentations; reading technical documents; sectoral case studies and professional discussions.</w:t>
            </w:r>
          </w:p>
        </w:tc>
      </w:tr>
    </w:tbl>
    <w:p>
      <w:r>
        <w:br w:type="page"/>
      </w:r>
    </w:p>
    <w:p>
      <w:pPr>
        <w:jc w:val="center"/>
      </w:pPr>
      <w:r>
        <w:rPr>
          <w:b/>
          <w:sz w:val="24"/>
        </w:rPr>
        <w:t>SEMESTER 4</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2601401</w:t>
            </w:r>
          </w:p>
        </w:tc>
        <w:tc>
          <w:tcPr>
            <w:tcW w:type="dxa" w:w="2835"/>
            <w:vAlign w:val="top"/>
          </w:tcPr>
          <w:p>
            <w:pPr>
              <w:jc w:val="both"/>
            </w:pPr>
            <w:r>
              <w:rPr>
                <w:rFonts w:ascii="Arial" w:hAnsi="Arial"/>
                <w:sz w:val="18"/>
              </w:rPr>
              <w:t>English IV</w:t>
            </w:r>
          </w:p>
        </w:tc>
        <w:tc>
          <w:tcPr>
            <w:tcW w:type="dxa" w:w="6236"/>
            <w:vAlign w:val="top"/>
          </w:tcPr>
          <w:p>
            <w:pPr>
              <w:jc w:val="both"/>
            </w:pPr>
            <w:r>
              <w:rPr>
                <w:rFonts w:ascii="Arial" w:hAnsi="Arial"/>
                <w:sz w:val="18"/>
              </w:rPr>
              <w:t>Advanced professional English for negotiation, terms and conditions, sales bargaining, complaints and problem solving, formal meetings, sectoral presentations, specialized terminology, reading academic publications, conference participation, networking and refinement of professional correspondence.</w:t>
            </w:r>
          </w:p>
        </w:tc>
      </w:tr>
      <w:tr>
        <w:tc>
          <w:tcPr>
            <w:tcW w:type="dxa" w:w="1304"/>
            <w:vAlign w:val="top"/>
          </w:tcPr>
          <w:p>
            <w:pPr>
              <w:jc w:val="both"/>
            </w:pPr>
            <w:r>
              <w:rPr>
                <w:rFonts w:ascii="Arial" w:hAnsi="Arial"/>
                <w:sz w:val="18"/>
              </w:rPr>
              <w:t>2601402</w:t>
            </w:r>
          </w:p>
        </w:tc>
        <w:tc>
          <w:tcPr>
            <w:tcW w:type="dxa" w:w="2835"/>
            <w:vAlign w:val="top"/>
          </w:tcPr>
          <w:p>
            <w:pPr>
              <w:jc w:val="both"/>
            </w:pPr>
            <w:r>
              <w:rPr>
                <w:rFonts w:ascii="Arial" w:hAnsi="Arial"/>
                <w:sz w:val="18"/>
              </w:rPr>
              <w:t>International Trade, Money and Finance II</w:t>
            </w:r>
          </w:p>
        </w:tc>
        <w:tc>
          <w:tcPr>
            <w:tcW w:type="dxa" w:w="6236"/>
            <w:vAlign w:val="top"/>
          </w:tcPr>
          <w:p>
            <w:pPr>
              <w:jc w:val="both"/>
            </w:pPr>
            <w:r>
              <w:rPr>
                <w:rFonts w:ascii="Arial" w:hAnsi="Arial"/>
                <w:sz w:val="18"/>
              </w:rPr>
              <w:t>International financial institutions and functions; balance-of-payments analysis; external debt management; international investment portfolios; capital flows and FDI; regional trade blocs and customs unions; monetary cooperation and exchange rates; financial crises; trade finance; monetary theory and globalization.</w:t>
            </w:r>
          </w:p>
        </w:tc>
      </w:tr>
      <w:tr>
        <w:tc>
          <w:tcPr>
            <w:tcW w:type="dxa" w:w="1304"/>
            <w:vAlign w:val="top"/>
          </w:tcPr>
          <w:p>
            <w:pPr>
              <w:jc w:val="both"/>
            </w:pPr>
            <w:r>
              <w:rPr>
                <w:rFonts w:ascii="Arial" w:hAnsi="Arial"/>
                <w:sz w:val="18"/>
              </w:rPr>
              <w:t>2601403</w:t>
            </w:r>
          </w:p>
        </w:tc>
        <w:tc>
          <w:tcPr>
            <w:tcW w:type="dxa" w:w="2835"/>
            <w:vAlign w:val="top"/>
          </w:tcPr>
          <w:p>
            <w:pPr>
              <w:jc w:val="both"/>
            </w:pPr>
            <w:r>
              <w:rPr>
                <w:rFonts w:ascii="Arial" w:hAnsi="Arial"/>
                <w:sz w:val="18"/>
              </w:rPr>
              <w:t>Introduction to Business Finance II</w:t>
            </w:r>
          </w:p>
        </w:tc>
        <w:tc>
          <w:tcPr>
            <w:tcW w:type="dxa" w:w="6236"/>
            <w:vAlign w:val="top"/>
          </w:tcPr>
          <w:p>
            <w:pPr>
              <w:jc w:val="both"/>
            </w:pPr>
            <w:r>
              <w:rPr>
                <w:rFonts w:ascii="Arial" w:hAnsi="Arial"/>
                <w:sz w:val="18"/>
              </w:rPr>
              <w:t>Capital-structure decisions; financing alternatives; dividend policy; interest-rate, foreign-exchange and credit risk; hedging, futures and options; long-term investment decisions; NPV, IRR and profitability index; liquidity risk; financial stability indicators and business valuation methods.</w:t>
            </w:r>
          </w:p>
        </w:tc>
      </w:tr>
      <w:tr>
        <w:tc>
          <w:tcPr>
            <w:tcW w:type="dxa" w:w="1304"/>
            <w:vAlign w:val="top"/>
          </w:tcPr>
          <w:p>
            <w:pPr>
              <w:jc w:val="both"/>
            </w:pPr>
            <w:r>
              <w:rPr>
                <w:rFonts w:ascii="Arial" w:hAnsi="Arial"/>
                <w:sz w:val="18"/>
              </w:rPr>
              <w:t>2601404</w:t>
            </w:r>
          </w:p>
        </w:tc>
        <w:tc>
          <w:tcPr>
            <w:tcW w:type="dxa" w:w="2835"/>
            <w:vAlign w:val="top"/>
          </w:tcPr>
          <w:p>
            <w:pPr>
              <w:jc w:val="both"/>
            </w:pPr>
            <w:r>
              <w:rPr>
                <w:rFonts w:ascii="Arial" w:hAnsi="Arial"/>
                <w:sz w:val="18"/>
              </w:rPr>
              <w:t>Logistics and Commercial Law II</w:t>
            </w:r>
          </w:p>
        </w:tc>
        <w:tc>
          <w:tcPr>
            <w:tcW w:type="dxa" w:w="6236"/>
            <w:vAlign w:val="top"/>
          </w:tcPr>
          <w:p>
            <w:pPr>
              <w:jc w:val="both"/>
            </w:pPr>
            <w:r>
              <w:rPr>
                <w:rFonts w:ascii="Arial" w:hAnsi="Arial"/>
                <w:sz w:val="18"/>
              </w:rPr>
              <w:t>Customs legislation and procedures; customs declarations and documentation; bonded warehouses; tax refunds and exemptions; commercial confidentiality and intellectual property; international carriage conventions including CMR, CIM, Warsaw and Montreal; insurance law, compensation claims and liability limits in maritime transport.</w:t>
            </w:r>
          </w:p>
        </w:tc>
      </w:tr>
      <w:tr>
        <w:tc>
          <w:tcPr>
            <w:tcW w:type="dxa" w:w="1304"/>
            <w:vAlign w:val="top"/>
          </w:tcPr>
          <w:p>
            <w:pPr>
              <w:jc w:val="both"/>
            </w:pPr>
            <w:r>
              <w:rPr>
                <w:rFonts w:ascii="Arial" w:hAnsi="Arial"/>
                <w:sz w:val="18"/>
              </w:rPr>
              <w:t>2601405</w:t>
            </w:r>
          </w:p>
        </w:tc>
        <w:tc>
          <w:tcPr>
            <w:tcW w:type="dxa" w:w="2835"/>
            <w:vAlign w:val="top"/>
          </w:tcPr>
          <w:p>
            <w:pPr>
              <w:jc w:val="both"/>
            </w:pPr>
            <w:r>
              <w:rPr>
                <w:rFonts w:ascii="Arial" w:hAnsi="Arial"/>
                <w:sz w:val="18"/>
              </w:rPr>
              <w:t>Road Freight Transport and Logistics Operations Management II</w:t>
            </w:r>
          </w:p>
        </w:tc>
        <w:tc>
          <w:tcPr>
            <w:tcW w:type="dxa" w:w="6236"/>
            <w:vAlign w:val="top"/>
          </w:tcPr>
          <w:p>
            <w:pPr>
              <w:jc w:val="both"/>
            </w:pPr>
            <w:r>
              <w:rPr>
                <w:rFonts w:ascii="Arial" w:hAnsi="Arial"/>
                <w:sz w:val="18"/>
              </w:rPr>
              <w:t>Advanced logistics planning and supply-chain optimization; dynamic routing; vehicle selection and utilization; fixed and variable transport costs; OEE and KPIs; service levels and delivery performance; contingency planning; carbon-footprint calculation; green logistics and technological innovations in road freight.</w:t>
            </w:r>
          </w:p>
        </w:tc>
      </w:tr>
      <w:tr>
        <w:tc>
          <w:tcPr>
            <w:tcW w:type="dxa" w:w="1304"/>
            <w:vAlign w:val="top"/>
          </w:tcPr>
          <w:p>
            <w:pPr>
              <w:jc w:val="both"/>
            </w:pPr>
            <w:r>
              <w:rPr>
                <w:rFonts w:ascii="Arial" w:hAnsi="Arial"/>
                <w:sz w:val="18"/>
              </w:rPr>
              <w:t>2601406</w:t>
            </w:r>
          </w:p>
        </w:tc>
        <w:tc>
          <w:tcPr>
            <w:tcW w:type="dxa" w:w="2835"/>
            <w:vAlign w:val="top"/>
          </w:tcPr>
          <w:p>
            <w:pPr>
              <w:jc w:val="both"/>
            </w:pPr>
            <w:r>
              <w:rPr>
                <w:rFonts w:ascii="Arial" w:hAnsi="Arial"/>
                <w:sz w:val="18"/>
              </w:rPr>
              <w:t>ADR (Dangerous Goods Transport) and Heavy Haulage</w:t>
            </w:r>
          </w:p>
        </w:tc>
        <w:tc>
          <w:tcPr>
            <w:tcW w:type="dxa" w:w="6236"/>
            <w:vAlign w:val="top"/>
          </w:tcPr>
          <w:p>
            <w:pPr>
              <w:jc w:val="both"/>
            </w:pPr>
            <w:r>
              <w:rPr>
                <w:rFonts w:ascii="Arial" w:hAnsi="Arial"/>
                <w:sz w:val="18"/>
              </w:rPr>
              <w:t>ADR rules for carriage of dangerous goods by road; classification, marking, packaging and labeling; training and certification; transport documentation; vehicle and driver requirements; emergency and safety procedures; heavy-haul logistics, special vehicles, route planning, permits and insurance.</w:t>
            </w:r>
          </w:p>
        </w:tc>
      </w:tr>
      <w:tr>
        <w:tc>
          <w:tcPr>
            <w:tcW w:type="dxa" w:w="1304"/>
            <w:vAlign w:val="top"/>
          </w:tcPr>
          <w:p>
            <w:pPr>
              <w:jc w:val="both"/>
            </w:pPr>
            <w:r>
              <w:rPr>
                <w:rFonts w:ascii="Arial" w:hAnsi="Arial"/>
                <w:sz w:val="18"/>
              </w:rPr>
              <w:t>2601407</w:t>
            </w:r>
          </w:p>
        </w:tc>
        <w:tc>
          <w:tcPr>
            <w:tcW w:type="dxa" w:w="2835"/>
            <w:vAlign w:val="top"/>
          </w:tcPr>
          <w:p>
            <w:pPr>
              <w:jc w:val="both"/>
            </w:pPr>
            <w:r>
              <w:rPr>
                <w:rFonts w:ascii="Arial" w:hAnsi="Arial"/>
                <w:sz w:val="18"/>
              </w:rPr>
              <w:t>Statistical Analysis</w:t>
            </w:r>
          </w:p>
        </w:tc>
        <w:tc>
          <w:tcPr>
            <w:tcW w:type="dxa" w:w="6236"/>
            <w:vAlign w:val="top"/>
          </w:tcPr>
          <w:p>
            <w:pPr>
              <w:jc w:val="both"/>
            </w:pPr>
            <w:r>
              <w:rPr>
                <w:rFonts w:ascii="Arial" w:hAnsi="Arial"/>
                <w:sz w:val="18"/>
              </w:rPr>
              <w:t>Multivariate analysis including multiple regression and path analysis; discriminant analysis and logistic regression; factor analysis and PCA; cluster analysis; time-series analysis and forecasting; ANOVA; fundamentals of data mining and machine learning; applications using SPSS, R and Python.</w:t>
            </w:r>
          </w:p>
        </w:tc>
      </w:tr>
      <w:tr>
        <w:tc>
          <w:tcPr>
            <w:tcW w:type="dxa" w:w="1304"/>
            <w:vAlign w:val="top"/>
          </w:tcPr>
          <w:p>
            <w:pPr>
              <w:jc w:val="both"/>
            </w:pPr>
            <w:r>
              <w:rPr>
                <w:rFonts w:ascii="Arial" w:hAnsi="Arial"/>
                <w:sz w:val="18"/>
              </w:rPr>
              <w:t>2601408</w:t>
            </w:r>
          </w:p>
        </w:tc>
        <w:tc>
          <w:tcPr>
            <w:tcW w:type="dxa" w:w="2835"/>
            <w:vAlign w:val="top"/>
          </w:tcPr>
          <w:p>
            <w:pPr>
              <w:jc w:val="both"/>
            </w:pPr>
            <w:r>
              <w:rPr>
                <w:rFonts w:ascii="Arial" w:hAnsi="Arial"/>
                <w:sz w:val="18"/>
              </w:rPr>
              <w:t>Business Mathematics</w:t>
            </w:r>
          </w:p>
        </w:tc>
        <w:tc>
          <w:tcPr>
            <w:tcW w:type="dxa" w:w="6236"/>
            <w:vAlign w:val="top"/>
          </w:tcPr>
          <w:p>
            <w:pPr>
              <w:jc w:val="both"/>
            </w:pPr>
            <w:r>
              <w:rPr>
                <w:rFonts w:ascii="Arial" w:hAnsi="Arial"/>
                <w:sz w:val="18"/>
              </w:rPr>
              <w:t>Simple and compound interest; discounting; annuities; loan repayment and amortization schedules; bonds and valuation; NPV and IRR; break-even analysis; profit-and-loss calculations; cost-benefit analysis; financial differences and sensitivity analysis.</w:t>
            </w:r>
          </w:p>
        </w:tc>
      </w:tr>
      <w:tr>
        <w:tc>
          <w:tcPr>
            <w:tcW w:type="dxa" w:w="1304"/>
            <w:vAlign w:val="top"/>
          </w:tcPr>
          <w:p>
            <w:pPr>
              <w:jc w:val="both"/>
            </w:pPr>
            <w:r>
              <w:rPr>
                <w:rFonts w:ascii="Arial" w:hAnsi="Arial"/>
                <w:sz w:val="18"/>
              </w:rPr>
              <w:t>2601409</w:t>
            </w:r>
          </w:p>
        </w:tc>
        <w:tc>
          <w:tcPr>
            <w:tcW w:type="dxa" w:w="2835"/>
            <w:vAlign w:val="top"/>
          </w:tcPr>
          <w:p>
            <w:pPr>
              <w:jc w:val="both"/>
            </w:pPr>
            <w:r>
              <w:rPr>
                <w:rFonts w:ascii="Arial" w:hAnsi="Arial"/>
                <w:sz w:val="18"/>
              </w:rPr>
              <w:t>Professional English II</w:t>
            </w:r>
          </w:p>
        </w:tc>
        <w:tc>
          <w:tcPr>
            <w:tcW w:type="dxa" w:w="6236"/>
            <w:vAlign w:val="top"/>
          </w:tcPr>
          <w:p>
            <w:pPr>
              <w:jc w:val="both"/>
            </w:pPr>
            <w:r>
              <w:rPr>
                <w:rFonts w:ascii="Arial" w:hAnsi="Arial"/>
                <w:sz w:val="18"/>
              </w:rPr>
              <w:t>English terminology for international trade documents, bills of lading, air waybills and packing documents; customs declarations and tariffs; letters of credit; invoice types; shipping documents; insurance policies; supply and sales contracts; negotiation of terms; professional correspondence.</w:t>
            </w:r>
          </w:p>
        </w:tc>
      </w:tr>
    </w:tbl>
    <w:p>
      <w:r>
        <w:br w:type="page"/>
      </w:r>
    </w:p>
    <w:p>
      <w:pPr>
        <w:jc w:val="center"/>
      </w:pPr>
      <w:r>
        <w:rPr>
          <w:b/>
          <w:sz w:val="24"/>
        </w:rPr>
        <w:t>SEMESTER 5</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2601501</w:t>
            </w:r>
          </w:p>
        </w:tc>
        <w:tc>
          <w:tcPr>
            <w:tcW w:type="dxa" w:w="2835"/>
            <w:vAlign w:val="top"/>
          </w:tcPr>
          <w:p>
            <w:pPr>
              <w:jc w:val="both"/>
            </w:pPr>
            <w:r>
              <w:rPr>
                <w:rFonts w:ascii="Arial" w:hAnsi="Arial"/>
                <w:sz w:val="18"/>
              </w:rPr>
              <w:t>English V</w:t>
            </w:r>
          </w:p>
        </w:tc>
        <w:tc>
          <w:tcPr>
            <w:tcW w:type="dxa" w:w="6236"/>
            <w:vAlign w:val="top"/>
          </w:tcPr>
          <w:p>
            <w:pPr>
              <w:jc w:val="both"/>
            </w:pPr>
            <w:r>
              <w:rPr>
                <w:rFonts w:ascii="Arial" w:hAnsi="Arial"/>
                <w:sz w:val="18"/>
              </w:rPr>
              <w:t>Academic English, including academic style, structure of research articles, abstracts, introductions, literature reviews, methodology, results and discussion; citation and reference management; academic argumentation; seminar and conference presentation; research-report and thesis writing; academic ethics and plagiarism.</w:t>
            </w:r>
          </w:p>
        </w:tc>
      </w:tr>
      <w:tr>
        <w:tc>
          <w:tcPr>
            <w:tcW w:type="dxa" w:w="1304"/>
            <w:vAlign w:val="top"/>
          </w:tcPr>
          <w:p>
            <w:pPr>
              <w:jc w:val="both"/>
            </w:pPr>
            <w:r>
              <w:rPr>
                <w:rFonts w:ascii="Arial" w:hAnsi="Arial"/>
                <w:sz w:val="18"/>
              </w:rPr>
              <w:t>2601502</w:t>
            </w:r>
          </w:p>
        </w:tc>
        <w:tc>
          <w:tcPr>
            <w:tcW w:type="dxa" w:w="2835"/>
            <w:vAlign w:val="top"/>
          </w:tcPr>
          <w:p>
            <w:pPr>
              <w:jc w:val="both"/>
            </w:pPr>
            <w:r>
              <w:rPr>
                <w:rFonts w:ascii="Arial" w:hAnsi="Arial"/>
                <w:sz w:val="18"/>
              </w:rPr>
              <w:t>Rail Transport</w:t>
            </w:r>
          </w:p>
        </w:tc>
        <w:tc>
          <w:tcPr>
            <w:tcW w:type="dxa" w:w="6236"/>
            <w:vAlign w:val="top"/>
          </w:tcPr>
          <w:p>
            <w:pPr>
              <w:jc w:val="both"/>
            </w:pPr>
            <w:r>
              <w:rPr>
                <w:rFonts w:ascii="Arial" w:hAnsi="Arial"/>
                <w:sz w:val="18"/>
              </w:rPr>
              <w:t>Characteristics and advantages of rail systems; passenger and freight operations; infrastructure and rolling-stock technologies; railway safety and traffic management; stations and terminals; rail-linked ports; transport documentation; railway insurance; European rail operations; costs and economics of rail logistics.</w:t>
            </w:r>
          </w:p>
        </w:tc>
      </w:tr>
      <w:tr>
        <w:tc>
          <w:tcPr>
            <w:tcW w:type="dxa" w:w="1304"/>
            <w:vAlign w:val="top"/>
          </w:tcPr>
          <w:p>
            <w:pPr>
              <w:jc w:val="both"/>
            </w:pPr>
            <w:r>
              <w:rPr>
                <w:rFonts w:ascii="Arial" w:hAnsi="Arial"/>
                <w:sz w:val="18"/>
              </w:rPr>
              <w:t>2601503</w:t>
            </w:r>
          </w:p>
        </w:tc>
        <w:tc>
          <w:tcPr>
            <w:tcW w:type="dxa" w:w="2835"/>
            <w:vAlign w:val="top"/>
          </w:tcPr>
          <w:p>
            <w:pPr>
              <w:jc w:val="both"/>
            </w:pPr>
            <w:r>
              <w:rPr>
                <w:rFonts w:ascii="Arial" w:hAnsi="Arial"/>
                <w:sz w:val="18"/>
              </w:rPr>
              <w:t>Warehousing and Distribution Systems</w:t>
            </w:r>
          </w:p>
        </w:tc>
        <w:tc>
          <w:tcPr>
            <w:tcW w:type="dxa" w:w="6236"/>
            <w:vAlign w:val="top"/>
          </w:tcPr>
          <w:p>
            <w:pPr>
              <w:jc w:val="both"/>
            </w:pPr>
            <w:r>
              <w:rPr>
                <w:rFonts w:ascii="Arial" w:hAnsi="Arial"/>
                <w:sz w:val="18"/>
              </w:rPr>
              <w:t>Warehouse-management principles; warehouse layout, zoning and storage height; racking and storage technologies; ABC analysis and EOQ; pull and push systems; distribution-center operations; picking and packing; automation; warehouse management systems (WMS); distribution-network design.</w:t>
            </w:r>
          </w:p>
        </w:tc>
      </w:tr>
      <w:tr>
        <w:tc>
          <w:tcPr>
            <w:tcW w:type="dxa" w:w="1304"/>
            <w:vAlign w:val="top"/>
          </w:tcPr>
          <w:p>
            <w:pPr>
              <w:jc w:val="both"/>
            </w:pPr>
            <w:r>
              <w:rPr>
                <w:rFonts w:ascii="Arial" w:hAnsi="Arial"/>
                <w:sz w:val="18"/>
              </w:rPr>
              <w:t>2601504</w:t>
            </w:r>
          </w:p>
        </w:tc>
        <w:tc>
          <w:tcPr>
            <w:tcW w:type="dxa" w:w="2835"/>
            <w:vAlign w:val="top"/>
          </w:tcPr>
          <w:p>
            <w:pPr>
              <w:jc w:val="both"/>
            </w:pPr>
            <w:r>
              <w:rPr>
                <w:rFonts w:ascii="Arial" w:hAnsi="Arial"/>
                <w:sz w:val="18"/>
              </w:rPr>
              <w:t>Customs Procedures and Documentation</w:t>
            </w:r>
          </w:p>
        </w:tc>
        <w:tc>
          <w:tcPr>
            <w:tcW w:type="dxa" w:w="6236"/>
            <w:vAlign w:val="top"/>
          </w:tcPr>
          <w:p>
            <w:pPr>
              <w:jc w:val="both"/>
            </w:pPr>
            <w:r>
              <w:rPr>
                <w:rFonts w:ascii="Arial" w:hAnsi="Arial"/>
                <w:sz w:val="18"/>
              </w:rPr>
              <w:t>Customs legislation; customs duties and calculation; import and export declarations; tariff classification and Harmonized System; rules and certificates of origin; preferential treatment; bonded warehousing; customs consultancy; drawback; customs controls, inspections, penalties and disputes.</w:t>
            </w:r>
          </w:p>
        </w:tc>
      </w:tr>
      <w:tr>
        <w:tc>
          <w:tcPr>
            <w:tcW w:type="dxa" w:w="1304"/>
            <w:vAlign w:val="top"/>
          </w:tcPr>
          <w:p>
            <w:pPr>
              <w:jc w:val="both"/>
            </w:pPr>
            <w:r>
              <w:rPr>
                <w:rFonts w:ascii="Arial" w:hAnsi="Arial"/>
                <w:sz w:val="18"/>
              </w:rPr>
              <w:t>2601505</w:t>
            </w:r>
          </w:p>
        </w:tc>
        <w:tc>
          <w:tcPr>
            <w:tcW w:type="dxa" w:w="2835"/>
            <w:vAlign w:val="top"/>
          </w:tcPr>
          <w:p>
            <w:pPr>
              <w:jc w:val="both"/>
            </w:pPr>
            <w:r>
              <w:rPr>
                <w:rFonts w:ascii="Arial" w:hAnsi="Arial"/>
                <w:sz w:val="18"/>
              </w:rPr>
              <w:t>Cost Accounting</w:t>
            </w:r>
          </w:p>
        </w:tc>
        <w:tc>
          <w:tcPr>
            <w:tcW w:type="dxa" w:w="6236"/>
            <w:vAlign w:val="top"/>
          </w:tcPr>
          <w:p>
            <w:pPr>
              <w:jc w:val="both"/>
            </w:pPr>
            <w:r>
              <w:rPr>
                <w:rFonts w:ascii="Arial" w:hAnsi="Arial"/>
                <w:sz w:val="18"/>
              </w:rPr>
              <w:t>Principles and objectives of cost accounting; fixed, variable, semi-fixed, direct and indirect costs; full and variable costing; product costing for labor, materials and overhead; departmental accounting and cost centers; profit and cost-volume-profit analysis; standard costing, cost control and variance analysis.</w:t>
            </w:r>
          </w:p>
        </w:tc>
      </w:tr>
      <w:tr>
        <w:tc>
          <w:tcPr>
            <w:tcW w:type="dxa" w:w="1304"/>
            <w:vAlign w:val="top"/>
          </w:tcPr>
          <w:p>
            <w:pPr>
              <w:jc w:val="both"/>
            </w:pPr>
            <w:r>
              <w:rPr>
                <w:rFonts w:ascii="Arial" w:hAnsi="Arial"/>
                <w:sz w:val="18"/>
              </w:rPr>
              <w:t>2601506</w:t>
            </w:r>
          </w:p>
        </w:tc>
        <w:tc>
          <w:tcPr>
            <w:tcW w:type="dxa" w:w="2835"/>
            <w:vAlign w:val="top"/>
          </w:tcPr>
          <w:p>
            <w:pPr>
              <w:jc w:val="both"/>
            </w:pPr>
            <w:r>
              <w:rPr>
                <w:rFonts w:ascii="Arial" w:hAnsi="Arial"/>
                <w:sz w:val="18"/>
              </w:rPr>
              <w:t>Working Capital Management</w:t>
            </w:r>
          </w:p>
        </w:tc>
        <w:tc>
          <w:tcPr>
            <w:tcW w:type="dxa" w:w="6236"/>
            <w:vAlign w:val="top"/>
          </w:tcPr>
          <w:p>
            <w:pPr>
              <w:jc w:val="both"/>
            </w:pPr>
            <w:r>
              <w:rPr>
                <w:rFonts w:ascii="Arial" w:hAnsi="Arial"/>
                <w:sz w:val="18"/>
              </w:rPr>
              <w:t>Working-capital concepts and liquidity needs; receivables and credit policy; collection and doubtful accounts; payables and payment terms; inventory levels and ordering; cash-flow forecasting and cash buffers; short-term finance and factoring; cash conversion cycle; SME working-capital challenges.</w:t>
            </w:r>
          </w:p>
        </w:tc>
      </w:tr>
      <w:tr>
        <w:tc>
          <w:tcPr>
            <w:tcW w:type="dxa" w:w="1304"/>
            <w:vAlign w:val="top"/>
          </w:tcPr>
          <w:p>
            <w:pPr>
              <w:jc w:val="both"/>
            </w:pPr>
            <w:r>
              <w:rPr>
                <w:rFonts w:ascii="Arial" w:hAnsi="Arial"/>
                <w:sz w:val="18"/>
              </w:rPr>
              <w:t>2601507</w:t>
            </w:r>
          </w:p>
        </w:tc>
        <w:tc>
          <w:tcPr>
            <w:tcW w:type="dxa" w:w="2835"/>
            <w:vAlign w:val="top"/>
          </w:tcPr>
          <w:p>
            <w:pPr>
              <w:jc w:val="both"/>
            </w:pPr>
            <w:r>
              <w:rPr>
                <w:rFonts w:ascii="Arial" w:hAnsi="Arial"/>
                <w:sz w:val="18"/>
              </w:rPr>
              <w:t>Money and Banking</w:t>
            </w:r>
          </w:p>
        </w:tc>
        <w:tc>
          <w:tcPr>
            <w:tcW w:type="dxa" w:w="6236"/>
            <w:vAlign w:val="top"/>
          </w:tcPr>
          <w:p>
            <w:pPr>
              <w:jc w:val="both"/>
            </w:pPr>
            <w:r>
              <w:rPr>
                <w:rFonts w:ascii="Arial" w:hAnsi="Arial"/>
                <w:sz w:val="18"/>
              </w:rPr>
              <w:t>Money markets; central-bank functions; commercial-bank operations and account types; open-market operations, discount rate and reserve requirements; consortium and syndicated lending; investment banking; risk management; payment systems and remittances; Basel criteria; digital banking and fintech.</w:t>
            </w:r>
          </w:p>
        </w:tc>
      </w:tr>
      <w:tr>
        <w:tc>
          <w:tcPr>
            <w:tcW w:type="dxa" w:w="1304"/>
            <w:vAlign w:val="top"/>
          </w:tcPr>
          <w:p>
            <w:pPr>
              <w:jc w:val="both"/>
            </w:pPr>
            <w:r>
              <w:rPr>
                <w:rFonts w:ascii="Arial" w:hAnsi="Arial"/>
                <w:sz w:val="18"/>
              </w:rPr>
              <w:t>2601508</w:t>
            </w:r>
          </w:p>
        </w:tc>
        <w:tc>
          <w:tcPr>
            <w:tcW w:type="dxa" w:w="2835"/>
            <w:vAlign w:val="top"/>
          </w:tcPr>
          <w:p>
            <w:pPr>
              <w:jc w:val="both"/>
            </w:pPr>
            <w:r>
              <w:rPr>
                <w:rFonts w:ascii="Arial" w:hAnsi="Arial"/>
                <w:sz w:val="18"/>
              </w:rPr>
              <w:t>Foreign Trade Incentives</w:t>
            </w:r>
          </w:p>
        </w:tc>
        <w:tc>
          <w:tcPr>
            <w:tcW w:type="dxa" w:w="6236"/>
            <w:vAlign w:val="top"/>
          </w:tcPr>
          <w:p>
            <w:pPr>
              <w:jc w:val="both"/>
            </w:pPr>
            <w:r>
              <w:rPr>
                <w:rFonts w:ascii="Arial" w:hAnsi="Arial"/>
                <w:sz w:val="18"/>
              </w:rPr>
              <w:t>Export incentives including tax advantages, credit and insurance; export credit insurance; customs-duty reductions and exemptions; preferential agreements and trade blocs; free zones and special economic zones; exporter certification; simplified export procedures; government support programs and WTO-related frameworks.</w:t>
            </w:r>
          </w:p>
        </w:tc>
      </w:tr>
      <w:tr>
        <w:tc>
          <w:tcPr>
            <w:tcW w:type="dxa" w:w="1304"/>
            <w:vAlign w:val="top"/>
          </w:tcPr>
          <w:p>
            <w:pPr>
              <w:jc w:val="both"/>
            </w:pPr>
            <w:r>
              <w:rPr>
                <w:rFonts w:ascii="Arial" w:hAnsi="Arial"/>
                <w:sz w:val="18"/>
              </w:rPr>
              <w:t>2601509</w:t>
            </w:r>
          </w:p>
        </w:tc>
        <w:tc>
          <w:tcPr>
            <w:tcW w:type="dxa" w:w="2835"/>
            <w:vAlign w:val="top"/>
          </w:tcPr>
          <w:p>
            <w:pPr>
              <w:jc w:val="both"/>
            </w:pPr>
            <w:r>
              <w:rPr>
                <w:rFonts w:ascii="Arial" w:hAnsi="Arial"/>
                <w:sz w:val="18"/>
              </w:rPr>
              <w:t>Professional English III</w:t>
            </w:r>
          </w:p>
        </w:tc>
        <w:tc>
          <w:tcPr>
            <w:tcW w:type="dxa" w:w="6236"/>
            <w:vAlign w:val="top"/>
          </w:tcPr>
          <w:p>
            <w:pPr>
              <w:jc w:val="both"/>
            </w:pPr>
            <w:r>
              <w:rPr>
                <w:rFonts w:ascii="Arial" w:hAnsi="Arial"/>
                <w:sz w:val="18"/>
              </w:rPr>
              <w:t>English for international logistics operations, partnership correspondence and business meetings; negotiation strategies; dispute resolution; partnership contracts; cooperation with logistics service providers; case-study analysis; tracking industry trends; professional networking and specialized publications.</w:t>
            </w:r>
          </w:p>
        </w:tc>
      </w:tr>
    </w:tbl>
    <w:p>
      <w:r>
        <w:br w:type="page"/>
      </w:r>
    </w:p>
    <w:p>
      <w:pPr>
        <w:jc w:val="center"/>
      </w:pPr>
      <w:r>
        <w:rPr>
          <w:b/>
          <w:sz w:val="24"/>
        </w:rPr>
        <w:t>SEMESTER 6</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2601601</w:t>
            </w:r>
          </w:p>
        </w:tc>
        <w:tc>
          <w:tcPr>
            <w:tcW w:type="dxa" w:w="2835"/>
            <w:vAlign w:val="top"/>
          </w:tcPr>
          <w:p>
            <w:pPr>
              <w:jc w:val="both"/>
            </w:pPr>
            <w:r>
              <w:rPr>
                <w:rFonts w:ascii="Arial" w:hAnsi="Arial"/>
                <w:sz w:val="18"/>
              </w:rPr>
              <w:t>English VI</w:t>
            </w:r>
          </w:p>
        </w:tc>
        <w:tc>
          <w:tcPr>
            <w:tcW w:type="dxa" w:w="6236"/>
            <w:vAlign w:val="top"/>
          </w:tcPr>
          <w:p>
            <w:pPr>
              <w:jc w:val="both"/>
            </w:pPr>
            <w:r>
              <w:rPr>
                <w:rFonts w:ascii="Arial" w:hAnsi="Arial"/>
                <w:sz w:val="18"/>
              </w:rPr>
              <w:t>Advanced professional English for management reports, business plans and strategic documents, investor pitches, financial-report analysis, risk and compliance reports, corporate communication, public disclosures, CSR reports, critical reading and intensive writing workshops.</w:t>
            </w:r>
          </w:p>
        </w:tc>
      </w:tr>
      <w:tr>
        <w:tc>
          <w:tcPr>
            <w:tcW w:type="dxa" w:w="1304"/>
            <w:vAlign w:val="top"/>
          </w:tcPr>
          <w:p>
            <w:pPr>
              <w:jc w:val="both"/>
            </w:pPr>
            <w:r>
              <w:rPr>
                <w:rFonts w:ascii="Arial" w:hAnsi="Arial"/>
                <w:sz w:val="18"/>
              </w:rPr>
              <w:t>2601602</w:t>
            </w:r>
          </w:p>
        </w:tc>
        <w:tc>
          <w:tcPr>
            <w:tcW w:type="dxa" w:w="2835"/>
            <w:vAlign w:val="top"/>
          </w:tcPr>
          <w:p>
            <w:pPr>
              <w:jc w:val="both"/>
            </w:pPr>
            <w:r>
              <w:rPr>
                <w:rFonts w:ascii="Arial" w:hAnsi="Arial"/>
                <w:sz w:val="18"/>
              </w:rPr>
              <w:t>Maritime Transport and Management</w:t>
            </w:r>
          </w:p>
        </w:tc>
        <w:tc>
          <w:tcPr>
            <w:tcW w:type="dxa" w:w="6236"/>
            <w:vAlign w:val="top"/>
          </w:tcPr>
          <w:p>
            <w:pPr>
              <w:jc w:val="both"/>
            </w:pPr>
            <w:r>
              <w:rPr>
                <w:rFonts w:ascii="Arial" w:hAnsi="Arial"/>
                <w:sz w:val="18"/>
              </w:rPr>
              <w:t>Characteristics of maritime transport; vessel types and capacities; port and terminal operations; container management and stacking; cargo handling; bareboat, time and voyage charters; port charges and docks; route selection and optimization; maritime logistics and international shipping operations.</w:t>
            </w:r>
          </w:p>
        </w:tc>
      </w:tr>
      <w:tr>
        <w:tc>
          <w:tcPr>
            <w:tcW w:type="dxa" w:w="1304"/>
            <w:vAlign w:val="top"/>
          </w:tcPr>
          <w:p>
            <w:pPr>
              <w:jc w:val="both"/>
            </w:pPr>
            <w:r>
              <w:rPr>
                <w:rFonts w:ascii="Arial" w:hAnsi="Arial"/>
                <w:sz w:val="18"/>
              </w:rPr>
              <w:t>2601603</w:t>
            </w:r>
          </w:p>
        </w:tc>
        <w:tc>
          <w:tcPr>
            <w:tcW w:type="dxa" w:w="2835"/>
            <w:vAlign w:val="top"/>
          </w:tcPr>
          <w:p>
            <w:pPr>
              <w:jc w:val="both"/>
            </w:pPr>
            <w:r>
              <w:rPr>
                <w:rFonts w:ascii="Arial" w:hAnsi="Arial"/>
                <w:sz w:val="18"/>
              </w:rPr>
              <w:t>Supply Chain Management</w:t>
            </w:r>
          </w:p>
        </w:tc>
        <w:tc>
          <w:tcPr>
            <w:tcW w:type="dxa" w:w="6236"/>
            <w:vAlign w:val="top"/>
          </w:tcPr>
          <w:p>
            <w:pPr>
              <w:jc w:val="both"/>
            </w:pPr>
            <w:r>
              <w:rPr>
                <w:rFonts w:ascii="Arial" w:hAnsi="Arial"/>
                <w:sz w:val="18"/>
              </w:rPr>
              <w:t>Supply-chain structure; supplier relationship management, selection and evaluation; purchasing strategies; consolidation and vendor-managed inventory; demand forecasting; inventory optimization; JIT; outsourcing; supply-chain resilience; multi-tier networks; transparency and traceability.</w:t>
            </w:r>
          </w:p>
        </w:tc>
      </w:tr>
      <w:tr>
        <w:tc>
          <w:tcPr>
            <w:tcW w:type="dxa" w:w="1304"/>
            <w:vAlign w:val="top"/>
          </w:tcPr>
          <w:p>
            <w:pPr>
              <w:jc w:val="both"/>
            </w:pPr>
            <w:r>
              <w:rPr>
                <w:rFonts w:ascii="Arial" w:hAnsi="Arial"/>
                <w:sz w:val="18"/>
              </w:rPr>
              <w:t>2601604</w:t>
            </w:r>
          </w:p>
        </w:tc>
        <w:tc>
          <w:tcPr>
            <w:tcW w:type="dxa" w:w="2835"/>
            <w:vAlign w:val="top"/>
          </w:tcPr>
          <w:p>
            <w:pPr>
              <w:jc w:val="both"/>
            </w:pPr>
            <w:r>
              <w:rPr>
                <w:rFonts w:ascii="Arial" w:hAnsi="Arial"/>
                <w:sz w:val="18"/>
              </w:rPr>
              <w:t>International Finance</w:t>
            </w:r>
          </w:p>
        </w:tc>
        <w:tc>
          <w:tcPr>
            <w:tcW w:type="dxa" w:w="6236"/>
            <w:vAlign w:val="top"/>
          </w:tcPr>
          <w:p>
            <w:pPr>
              <w:jc w:val="both"/>
            </w:pPr>
            <w:r>
              <w:rPr>
                <w:rFonts w:ascii="Arial" w:hAnsi="Arial"/>
                <w:sz w:val="18"/>
              </w:rPr>
              <w:t>International project and subsidiary finance; letters of credit; export credit and finance; investment insurance; microfinance; international bond and equity markets; regional development banks; project valuation and financial analysis; regional integration and common currencies.</w:t>
            </w:r>
          </w:p>
        </w:tc>
      </w:tr>
      <w:tr>
        <w:tc>
          <w:tcPr>
            <w:tcW w:type="dxa" w:w="1304"/>
            <w:vAlign w:val="top"/>
          </w:tcPr>
          <w:p>
            <w:pPr>
              <w:jc w:val="both"/>
            </w:pPr>
            <w:r>
              <w:rPr>
                <w:rFonts w:ascii="Arial" w:hAnsi="Arial"/>
                <w:sz w:val="18"/>
              </w:rPr>
              <w:t>2601605</w:t>
            </w:r>
          </w:p>
        </w:tc>
        <w:tc>
          <w:tcPr>
            <w:tcW w:type="dxa" w:w="2835"/>
            <w:vAlign w:val="top"/>
          </w:tcPr>
          <w:p>
            <w:pPr>
              <w:jc w:val="both"/>
            </w:pPr>
            <w:r>
              <w:rPr>
                <w:rFonts w:ascii="Arial" w:hAnsi="Arial"/>
                <w:sz w:val="18"/>
              </w:rPr>
              <w:t>Letters of Credit in Export and Import</w:t>
            </w:r>
          </w:p>
        </w:tc>
        <w:tc>
          <w:tcPr>
            <w:tcW w:type="dxa" w:w="6236"/>
            <w:vAlign w:val="top"/>
          </w:tcPr>
          <w:p>
            <w:pPr>
              <w:jc w:val="both"/>
            </w:pPr>
            <w:r>
              <w:rPr>
                <w:rFonts w:ascii="Arial" w:hAnsi="Arial"/>
                <w:sz w:val="18"/>
              </w:rPr>
              <w:t>Definition and functions of letters of credit; irrevocable, revocable, confirmed and standby L/Cs; opening procedures and terms; exporter/importer payments; document examination and presentation; discrepancies; ICC UCP 600; telegraphic transfer and documentary collection; eL/C systems and financial institutions.</w:t>
            </w:r>
          </w:p>
        </w:tc>
      </w:tr>
      <w:tr>
        <w:tc>
          <w:tcPr>
            <w:tcW w:type="dxa" w:w="1304"/>
            <w:vAlign w:val="top"/>
          </w:tcPr>
          <w:p>
            <w:pPr>
              <w:jc w:val="both"/>
            </w:pPr>
            <w:r>
              <w:rPr>
                <w:rFonts w:ascii="Arial" w:hAnsi="Arial"/>
                <w:sz w:val="18"/>
              </w:rPr>
              <w:t>2601606</w:t>
            </w:r>
          </w:p>
        </w:tc>
        <w:tc>
          <w:tcPr>
            <w:tcW w:type="dxa" w:w="2835"/>
            <w:vAlign w:val="top"/>
          </w:tcPr>
          <w:p>
            <w:pPr>
              <w:jc w:val="both"/>
            </w:pPr>
            <w:r>
              <w:rPr>
                <w:rFonts w:ascii="Arial" w:hAnsi="Arial"/>
                <w:sz w:val="18"/>
              </w:rPr>
              <w:t>Management Accounting</w:t>
            </w:r>
          </w:p>
        </w:tc>
        <w:tc>
          <w:tcPr>
            <w:tcW w:type="dxa" w:w="6236"/>
            <w:vAlign w:val="top"/>
          </w:tcPr>
          <w:p>
            <w:pPr>
              <w:jc w:val="both"/>
            </w:pPr>
            <w:r>
              <w:rPr>
                <w:rFonts w:ascii="Arial" w:hAnsi="Arial"/>
                <w:sz w:val="18"/>
              </w:rPr>
              <w:t>Management versus financial accounting; cost-volume-profit analysis; accounting information for decisions; segment analysis; special-order, product-line and make-or-buy decisions; pricing; budgeting and budgetary control; flexible budgets; balanced scorecard; transfer pricing and value-chain analysis.</w:t>
            </w:r>
          </w:p>
        </w:tc>
      </w:tr>
      <w:tr>
        <w:tc>
          <w:tcPr>
            <w:tcW w:type="dxa" w:w="1304"/>
            <w:vAlign w:val="top"/>
          </w:tcPr>
          <w:p>
            <w:pPr>
              <w:jc w:val="both"/>
            </w:pPr>
            <w:r>
              <w:rPr>
                <w:rFonts w:ascii="Arial" w:hAnsi="Arial"/>
                <w:sz w:val="18"/>
              </w:rPr>
              <w:t>2601607</w:t>
            </w:r>
          </w:p>
        </w:tc>
        <w:tc>
          <w:tcPr>
            <w:tcW w:type="dxa" w:w="2835"/>
            <w:vAlign w:val="top"/>
          </w:tcPr>
          <w:p>
            <w:pPr>
              <w:jc w:val="both"/>
            </w:pPr>
            <w:r>
              <w:rPr>
                <w:rFonts w:ascii="Arial" w:hAnsi="Arial"/>
                <w:sz w:val="18"/>
              </w:rPr>
              <w:t>Inventory and Balance Sheet</w:t>
            </w:r>
          </w:p>
        </w:tc>
        <w:tc>
          <w:tcPr>
            <w:tcW w:type="dxa" w:w="6236"/>
            <w:vAlign w:val="top"/>
          </w:tcPr>
          <w:p>
            <w:pPr>
              <w:jc w:val="both"/>
            </w:pPr>
            <w:r>
              <w:rPr>
                <w:rFonts w:ascii="Arial" w:hAnsi="Arial"/>
                <w:sz w:val="18"/>
              </w:rPr>
              <w:t>Structure of the balance sheet; assets, liabilities and equity; inventory valuation using FIFO, LIFO and weighted average; fixed-asset valuation and depreciation; intangible and other non-financial assets; securities investments; subsidiaries and joint ventures; consolidation and financial analysis.</w:t>
            </w:r>
          </w:p>
        </w:tc>
      </w:tr>
      <w:tr>
        <w:tc>
          <w:tcPr>
            <w:tcW w:type="dxa" w:w="1304"/>
            <w:vAlign w:val="top"/>
          </w:tcPr>
          <w:p>
            <w:pPr>
              <w:jc w:val="both"/>
            </w:pPr>
            <w:r>
              <w:rPr>
                <w:rFonts w:ascii="Arial" w:hAnsi="Arial"/>
                <w:sz w:val="18"/>
              </w:rPr>
              <w:t>KRPL</w:t>
            </w:r>
          </w:p>
        </w:tc>
        <w:tc>
          <w:tcPr>
            <w:tcW w:type="dxa" w:w="2835"/>
            <w:vAlign w:val="top"/>
          </w:tcPr>
          <w:p>
            <w:pPr>
              <w:jc w:val="both"/>
            </w:pPr>
            <w:r>
              <w:rPr>
                <w:rFonts w:ascii="Arial" w:hAnsi="Arial"/>
                <w:sz w:val="18"/>
              </w:rPr>
              <w:t>Career Planning</w:t>
            </w:r>
          </w:p>
        </w:tc>
        <w:tc>
          <w:tcPr>
            <w:tcW w:type="dxa" w:w="6236"/>
            <w:vAlign w:val="top"/>
          </w:tcPr>
          <w:p>
            <w:pPr>
              <w:jc w:val="both"/>
            </w:pPr>
            <w:r>
              <w:rPr>
                <w:rFonts w:ascii="Arial" w:hAnsi="Arial"/>
                <w:sz w:val="18"/>
              </w:rPr>
              <w:t>Personal development and career design; strengths and weaknesses; labor-market analysis; career options; CVs, cover letters and motivation letters; job-application strategies; interview preparation; networking; internships and first-job strategies; public/private sector and international opportunities.</w:t>
            </w:r>
          </w:p>
        </w:tc>
      </w:tr>
      <w:tr>
        <w:tc>
          <w:tcPr>
            <w:tcW w:type="dxa" w:w="1304"/>
            <w:vAlign w:val="top"/>
          </w:tcPr>
          <w:p>
            <w:pPr>
              <w:jc w:val="both"/>
            </w:pPr>
            <w:r>
              <w:rPr>
                <w:rFonts w:ascii="Arial" w:hAnsi="Arial"/>
                <w:sz w:val="18"/>
              </w:rPr>
              <w:t>2601609</w:t>
            </w:r>
          </w:p>
        </w:tc>
        <w:tc>
          <w:tcPr>
            <w:tcW w:type="dxa" w:w="2835"/>
            <w:vAlign w:val="top"/>
          </w:tcPr>
          <w:p>
            <w:pPr>
              <w:jc w:val="both"/>
            </w:pPr>
            <w:r>
              <w:rPr>
                <w:rFonts w:ascii="Arial" w:hAnsi="Arial"/>
                <w:sz w:val="18"/>
              </w:rPr>
              <w:t>Professional English IV</w:t>
            </w:r>
          </w:p>
        </w:tc>
        <w:tc>
          <w:tcPr>
            <w:tcW w:type="dxa" w:w="6236"/>
            <w:vAlign w:val="top"/>
          </w:tcPr>
          <w:p>
            <w:pPr>
              <w:jc w:val="both"/>
            </w:pPr>
            <w:r>
              <w:rPr>
                <w:rFonts w:ascii="Arial" w:hAnsi="Arial"/>
                <w:sz w:val="18"/>
              </w:rPr>
              <w:t>Business presentations and pitches; marketing and advertising copy; product-promotion documents; customer correspondence; complaint and problem-solving communication; formal correspondence with international partners; English in sectoral seminars; logistics documentation; professional certification and industry publications.</w:t>
            </w:r>
          </w:p>
        </w:tc>
      </w:tr>
    </w:tbl>
    <w:p>
      <w:r>
        <w:br w:type="page"/>
      </w:r>
    </w:p>
    <w:p>
      <w:pPr>
        <w:jc w:val="center"/>
      </w:pPr>
      <w:r>
        <w:rPr>
          <w:b/>
          <w:sz w:val="24"/>
        </w:rPr>
        <w:t>SEMESTER 7</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2601701</w:t>
            </w:r>
          </w:p>
        </w:tc>
        <w:tc>
          <w:tcPr>
            <w:tcW w:type="dxa" w:w="2835"/>
            <w:vAlign w:val="top"/>
          </w:tcPr>
          <w:p>
            <w:pPr>
              <w:jc w:val="both"/>
            </w:pPr>
            <w:r>
              <w:rPr>
                <w:rFonts w:ascii="Arial" w:hAnsi="Arial"/>
                <w:sz w:val="18"/>
              </w:rPr>
              <w:t>English VII</w:t>
            </w:r>
          </w:p>
        </w:tc>
        <w:tc>
          <w:tcPr>
            <w:tcW w:type="dxa" w:w="6236"/>
            <w:vAlign w:val="top"/>
          </w:tcPr>
          <w:p>
            <w:pPr>
              <w:jc w:val="both"/>
            </w:pPr>
            <w:r>
              <w:rPr>
                <w:rFonts w:ascii="Arial" w:hAnsi="Arial"/>
                <w:sz w:val="18"/>
              </w:rPr>
              <w:t>Advanced academic English: writing all sections of a research paper; academic discussion and critical inquiry; conference and poster presentations; academic ethics and plagiarism; preparation for scientific publication; thesis writing; proofreading and editing; academic correspondence and research-funding applications.</w:t>
            </w:r>
          </w:p>
        </w:tc>
      </w:tr>
      <w:tr>
        <w:tc>
          <w:tcPr>
            <w:tcW w:type="dxa" w:w="1304"/>
            <w:vAlign w:val="top"/>
          </w:tcPr>
          <w:p>
            <w:pPr>
              <w:jc w:val="both"/>
            </w:pPr>
            <w:r>
              <w:rPr>
                <w:rFonts w:ascii="Arial" w:hAnsi="Arial"/>
                <w:sz w:val="18"/>
              </w:rPr>
              <w:t>2601702</w:t>
            </w:r>
          </w:p>
        </w:tc>
        <w:tc>
          <w:tcPr>
            <w:tcW w:type="dxa" w:w="2835"/>
            <w:vAlign w:val="top"/>
          </w:tcPr>
          <w:p>
            <w:pPr>
              <w:jc w:val="both"/>
            </w:pPr>
            <w:r>
              <w:rPr>
                <w:rFonts w:ascii="Arial" w:hAnsi="Arial"/>
                <w:sz w:val="18"/>
              </w:rPr>
              <w:t>International Marketing and Purchasing</w:t>
            </w:r>
          </w:p>
        </w:tc>
        <w:tc>
          <w:tcPr>
            <w:tcW w:type="dxa" w:w="6236"/>
            <w:vAlign w:val="top"/>
          </w:tcPr>
          <w:p>
            <w:pPr>
              <w:jc w:val="both"/>
            </w:pPr>
            <w:r>
              <w:rPr>
                <w:rFonts w:ascii="Arial" w:hAnsi="Arial"/>
                <w:sz w:val="18"/>
              </w:rPr>
              <w:t>International marketing environments; PEST analysis and cultural differences; standardization versus adaptation; market research and entry strategies; product adaptation and pricing; international sourcing; supplier evaluation; bulk-purchase negotiations; purchasing agreements; commercial terms; barter and countertrade.</w:t>
            </w:r>
          </w:p>
        </w:tc>
      </w:tr>
      <w:tr>
        <w:tc>
          <w:tcPr>
            <w:tcW w:type="dxa" w:w="1304"/>
            <w:vAlign w:val="top"/>
          </w:tcPr>
          <w:p>
            <w:pPr>
              <w:jc w:val="both"/>
            </w:pPr>
            <w:r>
              <w:rPr>
                <w:rFonts w:ascii="Arial" w:hAnsi="Arial"/>
                <w:sz w:val="18"/>
              </w:rPr>
              <w:t>2601703</w:t>
            </w:r>
          </w:p>
        </w:tc>
        <w:tc>
          <w:tcPr>
            <w:tcW w:type="dxa" w:w="2835"/>
            <w:vAlign w:val="top"/>
          </w:tcPr>
          <w:p>
            <w:pPr>
              <w:jc w:val="both"/>
            </w:pPr>
            <w:r>
              <w:rPr>
                <w:rFonts w:ascii="Arial" w:hAnsi="Arial"/>
                <w:sz w:val="18"/>
              </w:rPr>
              <w:t>Operations Research</w:t>
            </w:r>
          </w:p>
        </w:tc>
        <w:tc>
          <w:tcPr>
            <w:tcW w:type="dxa" w:w="6236"/>
            <w:vAlign w:val="top"/>
          </w:tcPr>
          <w:p>
            <w:pPr>
              <w:jc w:val="both"/>
            </w:pPr>
            <w:r>
              <w:rPr>
                <w:rFonts w:ascii="Arial" w:hAnsi="Arial"/>
                <w:sz w:val="18"/>
              </w:rPr>
              <w:t>Linear programming and simplex method; sensitivity analysis; transportation and assignment problems; network models and shortest-path algorithms; PERT and CPM; queuing theory; inventory models; game theory; dynamic programming; LINDO and CPLEX applications in logistics problems.</w:t>
            </w:r>
          </w:p>
        </w:tc>
      </w:tr>
      <w:tr>
        <w:tc>
          <w:tcPr>
            <w:tcW w:type="dxa" w:w="1304"/>
            <w:vAlign w:val="top"/>
          </w:tcPr>
          <w:p>
            <w:pPr>
              <w:jc w:val="both"/>
            </w:pPr>
            <w:r>
              <w:rPr>
                <w:rFonts w:ascii="Arial" w:hAnsi="Arial"/>
                <w:sz w:val="18"/>
              </w:rPr>
              <w:t>2601704</w:t>
            </w:r>
          </w:p>
        </w:tc>
        <w:tc>
          <w:tcPr>
            <w:tcW w:type="dxa" w:w="2835"/>
            <w:vAlign w:val="top"/>
          </w:tcPr>
          <w:p>
            <w:pPr>
              <w:jc w:val="both"/>
            </w:pPr>
            <w:r>
              <w:rPr>
                <w:rFonts w:ascii="Arial" w:hAnsi="Arial"/>
                <w:sz w:val="18"/>
              </w:rPr>
              <w:t>Liability and Insurance in Transport</w:t>
            </w:r>
          </w:p>
        </w:tc>
        <w:tc>
          <w:tcPr>
            <w:tcW w:type="dxa" w:w="6236"/>
            <w:vAlign w:val="top"/>
          </w:tcPr>
          <w:p>
            <w:pPr>
              <w:jc w:val="both"/>
            </w:pPr>
            <w:r>
              <w:rPr>
                <w:rFonts w:ascii="Arial" w:hAnsi="Arial"/>
                <w:sz w:val="18"/>
              </w:rPr>
              <w:t>Legal liability of carriers, consignors and consignees; protection against risk and damage; insurance contracts and coverage; cargo, liability and transport insurance; interpretation of policies; loss and damage notification and claims; surveyors and loss adjusters; premiums; marine insurance clauses.</w:t>
            </w:r>
          </w:p>
        </w:tc>
      </w:tr>
      <w:tr>
        <w:tc>
          <w:tcPr>
            <w:tcW w:type="dxa" w:w="1304"/>
            <w:vAlign w:val="top"/>
          </w:tcPr>
          <w:p>
            <w:pPr>
              <w:jc w:val="both"/>
            </w:pPr>
            <w:r>
              <w:rPr>
                <w:rFonts w:ascii="Arial" w:hAnsi="Arial"/>
                <w:sz w:val="18"/>
              </w:rPr>
              <w:t>2601705</w:t>
            </w:r>
          </w:p>
        </w:tc>
        <w:tc>
          <w:tcPr>
            <w:tcW w:type="dxa" w:w="2835"/>
            <w:vAlign w:val="top"/>
          </w:tcPr>
          <w:p>
            <w:pPr>
              <w:jc w:val="both"/>
            </w:pPr>
            <w:r>
              <w:rPr>
                <w:rFonts w:ascii="Arial" w:hAnsi="Arial"/>
                <w:sz w:val="18"/>
              </w:rPr>
              <w:t>Capital Markets, Stock Exchange and Securities</w:t>
            </w:r>
          </w:p>
        </w:tc>
        <w:tc>
          <w:tcPr>
            <w:tcW w:type="dxa" w:w="6236"/>
            <w:vAlign w:val="top"/>
          </w:tcPr>
          <w:p>
            <w:pPr>
              <w:jc w:val="both"/>
            </w:pPr>
            <w:r>
              <w:rPr>
                <w:rFonts w:ascii="Arial" w:hAnsi="Arial"/>
                <w:sz w:val="18"/>
              </w:rPr>
              <w:t>Structure and operation of capital markets; stock exchanges; equities, bonds and derivatives; IPO procedures; market participants; brokers and dealers; portfolio construction and management; risk-return trade-off; indices; portfolio theory and CAPM; technical and fundamental analysis.</w:t>
            </w:r>
          </w:p>
        </w:tc>
      </w:tr>
      <w:tr>
        <w:tc>
          <w:tcPr>
            <w:tcW w:type="dxa" w:w="1304"/>
            <w:vAlign w:val="top"/>
          </w:tcPr>
          <w:p>
            <w:pPr>
              <w:jc w:val="both"/>
            </w:pPr>
            <w:r>
              <w:rPr>
                <w:rFonts w:ascii="Arial" w:hAnsi="Arial"/>
                <w:sz w:val="18"/>
              </w:rPr>
              <w:t>2601706</w:t>
            </w:r>
          </w:p>
        </w:tc>
        <w:tc>
          <w:tcPr>
            <w:tcW w:type="dxa" w:w="2835"/>
            <w:vAlign w:val="top"/>
          </w:tcPr>
          <w:p>
            <w:pPr>
              <w:jc w:val="both"/>
            </w:pPr>
            <w:r>
              <w:rPr>
                <w:rFonts w:ascii="Arial" w:hAnsi="Arial"/>
                <w:sz w:val="18"/>
              </w:rPr>
              <w:t>Management Information Systems</w:t>
            </w:r>
          </w:p>
        </w:tc>
        <w:tc>
          <w:tcPr>
            <w:tcW w:type="dxa" w:w="6236"/>
            <w:vAlign w:val="top"/>
          </w:tcPr>
          <w:p>
            <w:pPr>
              <w:jc w:val="both"/>
            </w:pPr>
            <w:r>
              <w:rPr>
                <w:rFonts w:ascii="Arial" w:hAnsi="Arial"/>
                <w:sz w:val="18"/>
              </w:rPr>
              <w:t>Value of information systems; IT strategy and governance; ERP modules and implementation; CRM and SCM software; data analytics and business intelligence; cloud computing and SaaS; cybersecurity and data protection; process-management software; RPA and machine-learning applications.</w:t>
            </w:r>
          </w:p>
        </w:tc>
      </w:tr>
      <w:tr>
        <w:tc>
          <w:tcPr>
            <w:tcW w:type="dxa" w:w="1304"/>
            <w:vAlign w:val="top"/>
          </w:tcPr>
          <w:p>
            <w:pPr>
              <w:jc w:val="both"/>
            </w:pPr>
            <w:r>
              <w:rPr>
                <w:rFonts w:ascii="Arial" w:hAnsi="Arial"/>
                <w:sz w:val="18"/>
              </w:rPr>
              <w:t>2601707</w:t>
            </w:r>
          </w:p>
        </w:tc>
        <w:tc>
          <w:tcPr>
            <w:tcW w:type="dxa" w:w="2835"/>
            <w:vAlign w:val="top"/>
          </w:tcPr>
          <w:p>
            <w:pPr>
              <w:jc w:val="both"/>
            </w:pPr>
            <w:r>
              <w:rPr>
                <w:rFonts w:ascii="Arial" w:hAnsi="Arial"/>
                <w:sz w:val="18"/>
              </w:rPr>
              <w:t>Turkish Economy</w:t>
            </w:r>
          </w:p>
        </w:tc>
        <w:tc>
          <w:tcPr>
            <w:tcW w:type="dxa" w:w="6236"/>
            <w:vAlign w:val="top"/>
          </w:tcPr>
          <w:p>
            <w:pPr>
              <w:jc w:val="both"/>
            </w:pPr>
            <w:r>
              <w:rPr>
                <w:rFonts w:ascii="Arial" w:hAnsi="Arial"/>
                <w:sz w:val="18"/>
              </w:rPr>
              <w:t>Structure of the Turkish economy; agriculture, manufacturing and services; international trade and major partners; sectoral exports and imports; foreign investment; tourism; real and financial sectors; inflation and monetary policy; fiscal policy; SMEs; regional development; WTO, Customs Union and EU integration.</w:t>
            </w:r>
          </w:p>
        </w:tc>
      </w:tr>
      <w:tr>
        <w:tc>
          <w:tcPr>
            <w:tcW w:type="dxa" w:w="1304"/>
            <w:vAlign w:val="top"/>
          </w:tcPr>
          <w:p>
            <w:pPr>
              <w:jc w:val="both"/>
            </w:pPr>
            <w:r>
              <w:rPr>
                <w:rFonts w:ascii="Arial" w:hAnsi="Arial"/>
                <w:sz w:val="18"/>
              </w:rPr>
              <w:t>2601708</w:t>
            </w:r>
          </w:p>
        </w:tc>
        <w:tc>
          <w:tcPr>
            <w:tcW w:type="dxa" w:w="2835"/>
            <w:vAlign w:val="top"/>
          </w:tcPr>
          <w:p>
            <w:pPr>
              <w:jc w:val="both"/>
            </w:pPr>
            <w:r>
              <w:rPr>
                <w:rFonts w:ascii="Arial" w:hAnsi="Arial"/>
                <w:sz w:val="18"/>
              </w:rPr>
              <w:t>Professional English V</w:t>
            </w:r>
          </w:p>
        </w:tc>
        <w:tc>
          <w:tcPr>
            <w:tcW w:type="dxa" w:w="6236"/>
            <w:vAlign w:val="top"/>
          </w:tcPr>
          <w:p>
            <w:pPr>
              <w:jc w:val="both"/>
            </w:pPr>
            <w:r>
              <w:rPr>
                <w:rFonts w:ascii="Arial" w:hAnsi="Arial"/>
                <w:sz w:val="18"/>
              </w:rPr>
              <w:t>Advanced technical English for logistics and trade; operations and supply-chain analysis reports; 3PL/4PL selection and negotiation; ship and air-cargo brokerage; customs consultancy; project-management correspondence; seminars and conferences; logistics trends and intergovernmental trade negotiations.</w:t>
            </w:r>
          </w:p>
        </w:tc>
      </w:tr>
    </w:tbl>
    <w:p>
      <w:r>
        <w:br w:type="page"/>
      </w:r>
    </w:p>
    <w:p>
      <w:pPr>
        <w:jc w:val="center"/>
      </w:pPr>
      <w:r>
        <w:rPr>
          <w:b/>
          <w:sz w:val="24"/>
        </w:rPr>
        <w:t>SEMESTER 8</w:t>
      </w:r>
    </w:p>
    <w:tbl>
      <w:tblPr>
        <w:tblStyle w:val="TableGrid"/>
        <w:tblW w:type="auto" w:w="0"/>
        <w:jc w:val="center"/>
        <w:tblLook w:firstColumn="1" w:firstRow="1" w:lastColumn="0" w:lastRow="0" w:noHBand="0" w:noVBand="1" w:val="04A0"/>
      </w:tblPr>
      <w:tblGrid>
        <w:gridCol w:w="3437"/>
        <w:gridCol w:w="3437"/>
        <w:gridCol w:w="3437"/>
      </w:tblGrid>
      <w:tr>
        <w:tc>
          <w:tcPr>
            <w:tcW w:type="dxa" w:w="1304"/>
            <w:vAlign w:val="center"/>
          </w:tcPr>
          <w:p>
            <w:pPr>
              <w:jc w:val="center"/>
            </w:pPr>
            <w:r>
              <w:rPr>
                <w:b/>
              </w:rPr>
              <w:t>Course Code</w:t>
            </w:r>
          </w:p>
        </w:tc>
        <w:tc>
          <w:tcPr>
            <w:tcW w:type="dxa" w:w="2835"/>
            <w:vAlign w:val="center"/>
          </w:tcPr>
          <w:p>
            <w:pPr>
              <w:jc w:val="center"/>
            </w:pPr>
            <w:r>
              <w:rPr>
                <w:b/>
              </w:rPr>
              <w:t>Course Title</w:t>
            </w:r>
          </w:p>
        </w:tc>
        <w:tc>
          <w:tcPr>
            <w:tcW w:type="dxa" w:w="6236"/>
            <w:vAlign w:val="center"/>
          </w:tcPr>
          <w:p>
            <w:pPr>
              <w:jc w:val="center"/>
            </w:pPr>
            <w:r>
              <w:rPr>
                <w:b/>
              </w:rPr>
              <w:t>Course Content</w:t>
            </w:r>
          </w:p>
        </w:tc>
      </w:tr>
      <w:tr>
        <w:tc>
          <w:tcPr>
            <w:tcW w:type="dxa" w:w="1304"/>
            <w:vAlign w:val="top"/>
          </w:tcPr>
          <w:p>
            <w:pPr>
              <w:jc w:val="both"/>
            </w:pPr>
            <w:r>
              <w:rPr>
                <w:rFonts w:ascii="Arial" w:hAnsi="Arial"/>
                <w:sz w:val="18"/>
              </w:rPr>
              <w:t>2601801</w:t>
            </w:r>
          </w:p>
        </w:tc>
        <w:tc>
          <w:tcPr>
            <w:tcW w:type="dxa" w:w="2835"/>
            <w:vAlign w:val="top"/>
          </w:tcPr>
          <w:p>
            <w:pPr>
              <w:jc w:val="both"/>
            </w:pPr>
            <w:r>
              <w:rPr>
                <w:rFonts w:ascii="Arial" w:hAnsi="Arial"/>
                <w:sz w:val="18"/>
              </w:rPr>
              <w:t>English VIII</w:t>
            </w:r>
          </w:p>
        </w:tc>
        <w:tc>
          <w:tcPr>
            <w:tcW w:type="dxa" w:w="6236"/>
            <w:vAlign w:val="top"/>
          </w:tcPr>
          <w:p>
            <w:pPr>
              <w:jc w:val="both"/>
            </w:pPr>
            <w:r>
              <w:rPr>
                <w:rFonts w:ascii="Arial" w:hAnsi="Arial"/>
                <w:sz w:val="18"/>
              </w:rPr>
              <w:t>Mastery-level English for sophisticated written and oral communication; style and tone; complex argumentation; critical thinking and analytical writing; plagiarism and academic integrity; intertextuality; code-switching between speech and writing; humor and irony; didactic texts; bridging industry and academia.</w:t>
            </w:r>
          </w:p>
        </w:tc>
      </w:tr>
      <w:tr>
        <w:tc>
          <w:tcPr>
            <w:tcW w:type="dxa" w:w="1304"/>
            <w:vAlign w:val="top"/>
          </w:tcPr>
          <w:p>
            <w:pPr>
              <w:jc w:val="both"/>
            </w:pPr>
            <w:r>
              <w:rPr>
                <w:rFonts w:ascii="Arial" w:hAnsi="Arial"/>
                <w:sz w:val="18"/>
              </w:rPr>
              <w:t>2601802</w:t>
            </w:r>
          </w:p>
        </w:tc>
        <w:tc>
          <w:tcPr>
            <w:tcW w:type="dxa" w:w="2835"/>
            <w:vAlign w:val="top"/>
          </w:tcPr>
          <w:p>
            <w:pPr>
              <w:jc w:val="both"/>
            </w:pPr>
            <w:r>
              <w:rPr>
                <w:rFonts w:ascii="Arial" w:hAnsi="Arial"/>
                <w:sz w:val="18"/>
              </w:rPr>
              <w:t>Air Transport and Operations Management</w:t>
            </w:r>
          </w:p>
        </w:tc>
        <w:tc>
          <w:tcPr>
            <w:tcW w:type="dxa" w:w="6236"/>
            <w:vAlign w:val="top"/>
          </w:tcPr>
          <w:p>
            <w:pPr>
              <w:jc w:val="both"/>
            </w:pPr>
            <w:r>
              <w:rPr>
                <w:rFonts w:ascii="Arial" w:hAnsi="Arial"/>
                <w:sz w:val="18"/>
              </w:rPr>
              <w:t>Characteristics and advantages of air transport; aircraft types and cargo capacities; airport and terminal operations; cargo acceptance, loading, storage and delivery; air waybills; IATA regulations; heavy and dangerous goods; risk and insurance; global air-cargo networks; digital transformation; pricing and marketing.</w:t>
            </w:r>
          </w:p>
        </w:tc>
      </w:tr>
      <w:tr>
        <w:tc>
          <w:tcPr>
            <w:tcW w:type="dxa" w:w="1304"/>
            <w:vAlign w:val="top"/>
          </w:tcPr>
          <w:p>
            <w:pPr>
              <w:jc w:val="both"/>
            </w:pPr>
            <w:r>
              <w:rPr>
                <w:rFonts w:ascii="Arial" w:hAnsi="Arial"/>
                <w:sz w:val="18"/>
              </w:rPr>
              <w:t>2601803</w:t>
            </w:r>
          </w:p>
        </w:tc>
        <w:tc>
          <w:tcPr>
            <w:tcW w:type="dxa" w:w="2835"/>
            <w:vAlign w:val="top"/>
          </w:tcPr>
          <w:p>
            <w:pPr>
              <w:jc w:val="both"/>
            </w:pPr>
            <w:r>
              <w:rPr>
                <w:rFonts w:ascii="Arial" w:hAnsi="Arial"/>
                <w:sz w:val="18"/>
              </w:rPr>
              <w:t>Entrepreneurship and Small Businesses</w:t>
            </w:r>
          </w:p>
        </w:tc>
        <w:tc>
          <w:tcPr>
            <w:tcW w:type="dxa" w:w="6236"/>
            <w:vAlign w:val="top"/>
          </w:tcPr>
          <w:p>
            <w:pPr>
              <w:jc w:val="both"/>
            </w:pPr>
            <w:r>
              <w:rPr>
                <w:rFonts w:ascii="Arial" w:hAnsi="Arial"/>
                <w:sz w:val="18"/>
              </w:rPr>
              <w:t>Entrepreneurship and entrepreneurial characteristics; idea generation and evaluation; market research and feasibility; business plans covering finance, marketing and operations; equity, debt, grants and crowdfunding; SME support; legal establishment procedures; incubation and technoparks; growth and risk management.</w:t>
            </w:r>
          </w:p>
        </w:tc>
      </w:tr>
      <w:tr>
        <w:tc>
          <w:tcPr>
            <w:tcW w:type="dxa" w:w="1304"/>
            <w:vAlign w:val="top"/>
          </w:tcPr>
          <w:p>
            <w:pPr>
              <w:jc w:val="both"/>
            </w:pPr>
            <w:r>
              <w:rPr>
                <w:rFonts w:ascii="Arial" w:hAnsi="Arial"/>
                <w:sz w:val="18"/>
              </w:rPr>
              <w:t>2601804</w:t>
            </w:r>
          </w:p>
        </w:tc>
        <w:tc>
          <w:tcPr>
            <w:tcW w:type="dxa" w:w="2835"/>
            <w:vAlign w:val="top"/>
          </w:tcPr>
          <w:p>
            <w:pPr>
              <w:jc w:val="both"/>
            </w:pPr>
            <w:r>
              <w:rPr>
                <w:rFonts w:ascii="Arial" w:hAnsi="Arial"/>
                <w:sz w:val="18"/>
              </w:rPr>
              <w:t>Undergraduate Thesis</w:t>
            </w:r>
          </w:p>
        </w:tc>
        <w:tc>
          <w:tcPr>
            <w:tcW w:type="dxa" w:w="6236"/>
            <w:vAlign w:val="top"/>
          </w:tcPr>
          <w:p>
            <w:pPr>
              <w:jc w:val="both"/>
            </w:pPr>
            <w:r>
              <w:rPr>
                <w:rFonts w:ascii="Arial" w:hAnsi="Arial"/>
                <w:sz w:val="18"/>
              </w:rPr>
              <w:t>Selection of a thesis topic and literature review; qualitative, quantitative and mixed research methodologies; research design and data collection; analysis and presentation of findings; thesis structure, style and referencing; academic ethics, confidentiality and identity protection; supervision, feedback, revision and defense.</w:t>
            </w:r>
          </w:p>
        </w:tc>
      </w:tr>
      <w:tr>
        <w:tc>
          <w:tcPr>
            <w:tcW w:type="dxa" w:w="1304"/>
            <w:vAlign w:val="top"/>
          </w:tcPr>
          <w:p>
            <w:pPr>
              <w:jc w:val="both"/>
            </w:pPr>
            <w:r>
              <w:rPr>
                <w:rFonts w:ascii="Arial" w:hAnsi="Arial"/>
                <w:sz w:val="18"/>
              </w:rPr>
              <w:t>2601805</w:t>
            </w:r>
          </w:p>
        </w:tc>
        <w:tc>
          <w:tcPr>
            <w:tcW w:type="dxa" w:w="2835"/>
            <w:vAlign w:val="top"/>
          </w:tcPr>
          <w:p>
            <w:pPr>
              <w:jc w:val="both"/>
            </w:pPr>
            <w:r>
              <w:rPr>
                <w:rFonts w:ascii="Arial" w:hAnsi="Arial"/>
                <w:sz w:val="18"/>
              </w:rPr>
              <w:t>E-Commerce</w:t>
            </w:r>
          </w:p>
        </w:tc>
        <w:tc>
          <w:tcPr>
            <w:tcW w:type="dxa" w:w="6236"/>
            <w:vAlign w:val="top"/>
          </w:tcPr>
          <w:p>
            <w:pPr>
              <w:jc w:val="both"/>
            </w:pPr>
            <w:r>
              <w:rPr>
                <w:rFonts w:ascii="Arial" w:hAnsi="Arial"/>
                <w:sz w:val="18"/>
              </w:rPr>
              <w:t>E-commerce environments and B2B, B2C, C2C and C2B models; digital marketing, SEM and SEO; social-media marketing; platforms and marketplaces; online payment systems and security; digital currencies and crypto-assets; e-commerce and reverse logistics; customer experience and personalization; analytics; legal and tax issues.</w:t>
            </w:r>
          </w:p>
        </w:tc>
      </w:tr>
      <w:tr>
        <w:tc>
          <w:tcPr>
            <w:tcW w:type="dxa" w:w="1304"/>
            <w:vAlign w:val="top"/>
          </w:tcPr>
          <w:p>
            <w:pPr>
              <w:jc w:val="both"/>
            </w:pPr>
            <w:r>
              <w:rPr>
                <w:rFonts w:ascii="Arial" w:hAnsi="Arial"/>
                <w:sz w:val="18"/>
              </w:rPr>
              <w:t>2601806</w:t>
            </w:r>
          </w:p>
        </w:tc>
        <w:tc>
          <w:tcPr>
            <w:tcW w:type="dxa" w:w="2835"/>
            <w:vAlign w:val="top"/>
          </w:tcPr>
          <w:p>
            <w:pPr>
              <w:jc w:val="both"/>
            </w:pPr>
            <w:r>
              <w:rPr>
                <w:rFonts w:ascii="Arial" w:hAnsi="Arial"/>
                <w:sz w:val="18"/>
              </w:rPr>
              <w:t>EU Transport Policies and Customs and Transit Procedures in the EU Process</w:t>
            </w:r>
          </w:p>
        </w:tc>
        <w:tc>
          <w:tcPr>
            <w:tcW w:type="dxa" w:w="6236"/>
            <w:vAlign w:val="top"/>
          </w:tcPr>
          <w:p>
            <w:pPr>
              <w:jc w:val="both"/>
            </w:pPr>
            <w:r>
              <w:rPr>
                <w:rFonts w:ascii="Arial" w:hAnsi="Arial"/>
                <w:sz w:val="18"/>
              </w:rPr>
              <w:t>EU transport-policy framework; regulations for rail, road, maritime and air transport; road-transport rules and working hours; emissions and environmental standards; integrated transport policy; EU Customs Union and customs procedures; TIR and ATA transit; preferential origin; external-border controls and harmonization.</w:t>
            </w:r>
          </w:p>
        </w:tc>
      </w:tr>
      <w:tr>
        <w:tc>
          <w:tcPr>
            <w:tcW w:type="dxa" w:w="1304"/>
            <w:vAlign w:val="top"/>
          </w:tcPr>
          <w:p>
            <w:pPr>
              <w:jc w:val="both"/>
            </w:pPr>
            <w:r>
              <w:rPr>
                <w:rFonts w:ascii="Arial" w:hAnsi="Arial"/>
                <w:sz w:val="18"/>
              </w:rPr>
              <w:t>2601807</w:t>
            </w:r>
          </w:p>
        </w:tc>
        <w:tc>
          <w:tcPr>
            <w:tcW w:type="dxa" w:w="2835"/>
            <w:vAlign w:val="top"/>
          </w:tcPr>
          <w:p>
            <w:pPr>
              <w:jc w:val="both"/>
            </w:pPr>
            <w:r>
              <w:rPr>
                <w:rFonts w:ascii="Arial" w:hAnsi="Arial"/>
                <w:sz w:val="18"/>
              </w:rPr>
              <w:t>Human Resources Planning and Recruitment</w:t>
            </w:r>
          </w:p>
        </w:tc>
        <w:tc>
          <w:tcPr>
            <w:tcW w:type="dxa" w:w="6236"/>
            <w:vAlign w:val="top"/>
          </w:tcPr>
          <w:p>
            <w:pPr>
              <w:jc w:val="both"/>
            </w:pPr>
            <w:r>
              <w:rPr>
                <w:rFonts w:ascii="Arial" w:hAnsi="Arial"/>
                <w:sz w:val="18"/>
              </w:rPr>
              <w:t>HR planning, job analysis, job descriptions and competency profiles; demand forecasting and supply analysis; internal and external recruitment; vacancy announcements and application management; interviews, tests and reference checks; placement and orientation; performance management; training, career management and employee motivation.</w:t>
            </w:r>
          </w:p>
        </w:tc>
      </w:tr>
      <w:tr>
        <w:tc>
          <w:tcPr>
            <w:tcW w:type="dxa" w:w="1304"/>
            <w:vAlign w:val="top"/>
          </w:tcPr>
          <w:p>
            <w:pPr>
              <w:jc w:val="both"/>
            </w:pPr>
            <w:r>
              <w:rPr>
                <w:rFonts w:ascii="Arial" w:hAnsi="Arial"/>
                <w:sz w:val="18"/>
              </w:rPr>
              <w:t>2601808</w:t>
            </w:r>
          </w:p>
        </w:tc>
        <w:tc>
          <w:tcPr>
            <w:tcW w:type="dxa" w:w="2835"/>
            <w:vAlign w:val="top"/>
          </w:tcPr>
          <w:p>
            <w:pPr>
              <w:jc w:val="both"/>
            </w:pPr>
            <w:r>
              <w:rPr>
                <w:rFonts w:ascii="Arial" w:hAnsi="Arial"/>
                <w:sz w:val="18"/>
              </w:rPr>
              <w:t>Professional English VI</w:t>
            </w:r>
          </w:p>
        </w:tc>
        <w:tc>
          <w:tcPr>
            <w:tcW w:type="dxa" w:w="6236"/>
            <w:vAlign w:val="top"/>
          </w:tcPr>
          <w:p>
            <w:pPr>
              <w:jc w:val="both"/>
            </w:pPr>
            <w:r>
              <w:rPr>
                <w:rFonts w:ascii="Arial" w:hAnsi="Arial"/>
                <w:sz w:val="18"/>
              </w:rPr>
              <w:t>Advanced English for business meetings, note-taking and drafting decisions; final refinement of formal correspondence; ethical dialogues; international business etiquette and diplomacy; cross-cultural business practices; multinational-company correspondence; networking; international trade-law documents; mentoring and logistics career development.</w:t>
            </w:r>
          </w:p>
        </w:tc>
      </w:tr>
    </w:tbl>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