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جامعة حرّان</w:t>
      </w:r>
    </w:p>
    <w:p>
      <w:pPr>
        <w:jc w:val="center"/>
      </w:pPr>
      <w:r>
        <w:rPr>
          <w:b/>
          <w:sz w:val="30"/>
        </w:rPr>
        <w:t>كلية العلوم التطبيقية في سيفريك</w:t>
      </w:r>
    </w:p>
    <w:p>
      <w:pPr>
        <w:jc w:val="center"/>
      </w:pPr>
      <w:r>
        <w:rPr>
          <w:b/>
          <w:sz w:val="28"/>
        </w:rPr>
        <w:t>قسم التجارة الدولية واللوجستيات</w:t>
      </w:r>
    </w:p>
    <w:p>
      <w:pPr>
        <w:jc w:val="center"/>
      </w:pPr>
      <w:r>
        <w:rPr>
          <w:b/>
          <w:sz w:val="30"/>
        </w:rPr>
        <w:t>محتويات مقررات برنامج البكالوريوس</w:t>
      </w:r>
    </w:p>
    <w:p>
      <w:pPr>
        <w:jc w:val="right"/>
      </w:pPr>
      <w:r>
        <w:rPr>
          <w:b/>
          <w:sz w:val="28"/>
        </w:rPr>
        <w:t>الفصل الدراسي 1</w:t>
      </w:r>
    </w:p>
    <w:tbl>
      <w:tblPr>
        <w:tblStyle w:val="TableGrid"/>
        <w:tblW w:type="auto" w:w="0"/>
        <w:jc w:val="center"/>
        <w:tblLook w:firstColumn="1" w:firstRow="1" w:lastColumn="0" w:lastRow="0" w:noHBand="0" w:noVBand="1" w:val="04A0"/>
      </w:tblPr>
      <w:tblGrid>
        <w:gridCol w:w="3513"/>
        <w:gridCol w:w="3513"/>
        <w:gridCol w:w="3513"/>
      </w:tblGrid>
      <w:tr>
        <w:tc>
          <w:tcPr>
            <w:tcW w:type="dxa" w:w="6520"/>
            <w:vAlign w:val="center"/>
          </w:tcPr>
          <w:p>
            <w:pPr>
              <w:jc w:val="center"/>
            </w:pPr>
            <w:r>
              <w:rPr>
                <w:b/>
                <w:sz w:val="21"/>
              </w:rPr>
              <w:t>محتوى المقرر</w:t>
            </w:r>
          </w:p>
        </w:tc>
        <w:tc>
          <w:tcPr>
            <w:tcW w:type="dxa" w:w="2835"/>
            <w:vAlign w:val="center"/>
          </w:tcPr>
          <w:p>
            <w:pPr>
              <w:jc w:val="center"/>
            </w:pPr>
            <w:r>
              <w:rPr>
                <w:b/>
                <w:sz w:val="21"/>
              </w:rPr>
              <w:t>اسم المقرر</w:t>
            </w:r>
          </w:p>
        </w:tc>
        <w:tc>
          <w:tcPr>
            <w:tcW w:type="dxa" w:w="1247"/>
            <w:vAlign w:val="center"/>
          </w:tcPr>
          <w:p>
            <w:pPr>
              <w:jc w:val="center"/>
            </w:pPr>
            <w:r>
              <w:rPr>
                <w:b/>
                <w:sz w:val="21"/>
              </w:rPr>
              <w:t>رمز المقرر</w:t>
            </w:r>
          </w:p>
        </w:tc>
      </w:tr>
      <w:tr>
        <w:tc>
          <w:tcPr>
            <w:tcW w:type="dxa" w:w="6520"/>
            <w:vAlign w:val="top"/>
          </w:tcPr>
          <w:p>
            <w:pPr>
              <w:spacing w:after="40"/>
              <w:jc w:val="right"/>
            </w:pPr>
            <w:r>
              <w:rPr>
                <w:rFonts w:ascii="Arial" w:hAnsi="Arial"/>
                <w:sz w:val="19"/>
              </w:rPr>
              <w:t>حياة مصطفى كمال أتاتورك وسماته الشخصية، والمبادئ الأساسية للفكر الأتاتوركي: الجمهورية، والقومية، والدولتية، والشعبوية، والعلمانية، والإصلاحية. الخلفية التاريخية للثورة التركية، والتحولات السياسية والاجتماعية في أواخر الدولة العثمانية، والإطار العام لحرب الاستقلال التركية وأهميتها. يهدف المقرر إلى دراسة مرحلة تأسيس تركيا الحديثة من منظور تاريخي وفهم الدلالات المعاصرة لمبادئ أتاتورك.</w:t>
            </w:r>
          </w:p>
        </w:tc>
        <w:tc>
          <w:tcPr>
            <w:tcW w:type="dxa" w:w="2835"/>
            <w:vAlign w:val="top"/>
          </w:tcPr>
          <w:p>
            <w:pPr>
              <w:spacing w:after="40"/>
              <w:jc w:val="right"/>
            </w:pPr>
            <w:r>
              <w:rPr>
                <w:rFonts w:ascii="Arial" w:hAnsi="Arial"/>
                <w:sz w:val="19"/>
              </w:rPr>
              <w:t>مبادئ أتاتورك وتاريخ الإصلاحات - 1</w:t>
            </w:r>
          </w:p>
        </w:tc>
        <w:tc>
          <w:tcPr>
            <w:tcW w:type="dxa" w:w="1247"/>
            <w:vAlign w:val="top"/>
          </w:tcPr>
          <w:p>
            <w:pPr>
              <w:spacing w:after="40"/>
              <w:jc w:val="center"/>
            </w:pPr>
            <w:r>
              <w:rPr>
                <w:rFonts w:ascii="Arial" w:hAnsi="Arial"/>
                <w:sz w:val="19"/>
              </w:rPr>
              <w:t>2601101</w:t>
            </w:r>
          </w:p>
        </w:tc>
      </w:tr>
      <w:tr>
        <w:tc>
          <w:tcPr>
            <w:tcW w:type="dxa" w:w="6520"/>
            <w:vAlign w:val="top"/>
          </w:tcPr>
          <w:p>
            <w:pPr>
              <w:spacing w:after="40"/>
              <w:jc w:val="right"/>
            </w:pPr>
            <w:r>
              <w:rPr>
                <w:rFonts w:ascii="Arial" w:hAnsi="Arial"/>
                <w:sz w:val="19"/>
              </w:rPr>
              <w:t>تعريف علم الاقتصاد ومفاهيمه الأساسية، والنظم الاقتصادية: الرأسمالية والاشتراكية والاقتصاد المختلط، والفروق بين الاقتصاد الجزئي والكلي، وآليات اتخاذ القرار لدى المستهلكين والمنتجين، وقانون العرض والطلب، وهياكل السوق مثل المنافسة الكاملة واحتكار القلة والاحتكار، ومشكلات تخصيص الموارد ومفاهيم الكفاءة والفعالية. يكتسب الطلبة الأدوات الأساسية اللازمة لتحليل الظواهر الاقتصادية.</w:t>
            </w:r>
          </w:p>
        </w:tc>
        <w:tc>
          <w:tcPr>
            <w:tcW w:type="dxa" w:w="2835"/>
            <w:vAlign w:val="top"/>
          </w:tcPr>
          <w:p>
            <w:pPr>
              <w:spacing w:after="40"/>
              <w:jc w:val="right"/>
            </w:pPr>
            <w:r>
              <w:rPr>
                <w:rFonts w:ascii="Arial" w:hAnsi="Arial"/>
                <w:sz w:val="19"/>
              </w:rPr>
              <w:t>مدخل إلى الاقتصاد - 1</w:t>
            </w:r>
          </w:p>
        </w:tc>
        <w:tc>
          <w:tcPr>
            <w:tcW w:type="dxa" w:w="1247"/>
            <w:vAlign w:val="top"/>
          </w:tcPr>
          <w:p>
            <w:pPr>
              <w:spacing w:after="40"/>
              <w:jc w:val="center"/>
            </w:pPr>
            <w:r>
              <w:rPr>
                <w:rFonts w:ascii="Arial" w:hAnsi="Arial"/>
                <w:sz w:val="19"/>
              </w:rPr>
              <w:t>2601102</w:t>
            </w:r>
          </w:p>
        </w:tc>
      </w:tr>
      <w:tr>
        <w:tc>
          <w:tcPr>
            <w:tcW w:type="dxa" w:w="6520"/>
            <w:vAlign w:val="top"/>
          </w:tcPr>
          <w:p>
            <w:pPr>
              <w:spacing w:after="40"/>
              <w:jc w:val="right"/>
            </w:pPr>
            <w:r>
              <w:rPr>
                <w:rFonts w:ascii="Arial" w:hAnsi="Arial"/>
                <w:sz w:val="19"/>
              </w:rPr>
              <w:t>تعريف علم القانون وأهميته، والمصادر الأساسية للنظام القانوني مثل التشريع والعرف والاجتهاد القضائي، والفروق بين القانون الجنائي والقانون المدني، والشخصية القانونية للأفراد والحقوق، والالتزامات والمسؤوليات القانونية، وتطبيق القواعد القانونية على المعاملات التجارية، وآليات تسوية المنازعات. يضع المقرر الأساس القانوني اللازم لمجالي التجارة واللوجستيات.</w:t>
            </w:r>
          </w:p>
        </w:tc>
        <w:tc>
          <w:tcPr>
            <w:tcW w:type="dxa" w:w="2835"/>
            <w:vAlign w:val="top"/>
          </w:tcPr>
          <w:p>
            <w:pPr>
              <w:spacing w:after="40"/>
              <w:jc w:val="right"/>
            </w:pPr>
            <w:r>
              <w:rPr>
                <w:rFonts w:ascii="Arial" w:hAnsi="Arial"/>
                <w:sz w:val="19"/>
              </w:rPr>
              <w:t>مدخل إلى القانون - 1</w:t>
            </w:r>
          </w:p>
        </w:tc>
        <w:tc>
          <w:tcPr>
            <w:tcW w:type="dxa" w:w="1247"/>
            <w:vAlign w:val="top"/>
          </w:tcPr>
          <w:p>
            <w:pPr>
              <w:spacing w:after="40"/>
              <w:jc w:val="center"/>
            </w:pPr>
            <w:r>
              <w:rPr>
                <w:rFonts w:ascii="Arial" w:hAnsi="Arial"/>
                <w:sz w:val="19"/>
              </w:rPr>
              <w:t>2601103</w:t>
            </w:r>
          </w:p>
        </w:tc>
      </w:tr>
      <w:tr>
        <w:tc>
          <w:tcPr>
            <w:tcW w:type="dxa" w:w="6520"/>
            <w:vAlign w:val="top"/>
          </w:tcPr>
          <w:p>
            <w:pPr>
              <w:spacing w:after="40"/>
              <w:jc w:val="right"/>
            </w:pPr>
            <w:r>
              <w:rPr>
                <w:rFonts w:ascii="Arial" w:hAnsi="Arial"/>
                <w:sz w:val="19"/>
              </w:rPr>
              <w:t>قواعد اللغة الإنجليزية الأساسية، بما في ذلك المضارع البسيط والمستمر والماضي البسيط وصيغ المستقبل واستخداماتها، والضمائر والصفات وحروف الجر وبناء الجملة البسيطة. تنمية مهارات الكتابة من خلال النصوص والنماذج البسيطة، ومهارات المحادثة كالتعريف بالنفس والحوارات اليومية وطرح الأسئلة والإجابة عنها، إلى جانب النطق والاستماع والتعبيرات الإنجليزية الأساسية في بيئة العمل.</w:t>
            </w:r>
          </w:p>
        </w:tc>
        <w:tc>
          <w:tcPr>
            <w:tcW w:type="dxa" w:w="2835"/>
            <w:vAlign w:val="top"/>
          </w:tcPr>
          <w:p>
            <w:pPr>
              <w:spacing w:after="40"/>
              <w:jc w:val="right"/>
            </w:pPr>
            <w:r>
              <w:rPr>
                <w:rFonts w:ascii="Arial" w:hAnsi="Arial"/>
                <w:sz w:val="19"/>
              </w:rPr>
              <w:t>اللغة الإنجليزية - 1</w:t>
            </w:r>
          </w:p>
        </w:tc>
        <w:tc>
          <w:tcPr>
            <w:tcW w:type="dxa" w:w="1247"/>
            <w:vAlign w:val="top"/>
          </w:tcPr>
          <w:p>
            <w:pPr>
              <w:spacing w:after="40"/>
              <w:jc w:val="center"/>
            </w:pPr>
            <w:r>
              <w:rPr>
                <w:rFonts w:ascii="Arial" w:hAnsi="Arial"/>
                <w:sz w:val="19"/>
              </w:rPr>
              <w:t>2601104</w:t>
            </w:r>
          </w:p>
        </w:tc>
      </w:tr>
      <w:tr>
        <w:tc>
          <w:tcPr>
            <w:tcW w:type="dxa" w:w="6520"/>
            <w:vAlign w:val="top"/>
          </w:tcPr>
          <w:p>
            <w:pPr>
              <w:spacing w:after="40"/>
              <w:jc w:val="right"/>
            </w:pPr>
            <w:r>
              <w:rPr>
                <w:rFonts w:ascii="Arial" w:hAnsi="Arial"/>
                <w:sz w:val="19"/>
              </w:rPr>
              <w:t>تعريف إدارة الأعمال ووظائفها الأساسية: التخطيط والتنظيم والتوجيه والرقابة، وأهداف المنشأة ورسالتها، وأنواع المنشآت الصناعية والخدمية والتجارية، والهياكل التنظيمية والتقسيم الإداري، والمستويات الإدارية والتفويض، وعمليات اتخاذ القرار، والأخلاقيات والمسؤولية الاجتماعية. يهدف المقرر إلى تكوين فهم شامل لآليات عمل منشآت الأعمال الحديثة.</w:t>
            </w:r>
          </w:p>
        </w:tc>
        <w:tc>
          <w:tcPr>
            <w:tcW w:type="dxa" w:w="2835"/>
            <w:vAlign w:val="top"/>
          </w:tcPr>
          <w:p>
            <w:pPr>
              <w:spacing w:after="40"/>
              <w:jc w:val="right"/>
            </w:pPr>
            <w:r>
              <w:rPr>
                <w:rFonts w:ascii="Arial" w:hAnsi="Arial"/>
                <w:sz w:val="19"/>
              </w:rPr>
              <w:t>مدخل إلى إدارة الأعمال - 1</w:t>
            </w:r>
          </w:p>
        </w:tc>
        <w:tc>
          <w:tcPr>
            <w:tcW w:type="dxa" w:w="1247"/>
            <w:vAlign w:val="top"/>
          </w:tcPr>
          <w:p>
            <w:pPr>
              <w:spacing w:after="40"/>
              <w:jc w:val="center"/>
            </w:pPr>
            <w:r>
              <w:rPr>
                <w:rFonts w:ascii="Arial" w:hAnsi="Arial"/>
                <w:sz w:val="19"/>
              </w:rPr>
              <w:t>2601105</w:t>
            </w:r>
          </w:p>
        </w:tc>
      </w:tr>
      <w:tr>
        <w:tc>
          <w:tcPr>
            <w:tcW w:type="dxa" w:w="6520"/>
            <w:vAlign w:val="top"/>
          </w:tcPr>
          <w:p>
            <w:pPr>
              <w:spacing w:after="40"/>
              <w:jc w:val="right"/>
            </w:pPr>
            <w:r>
              <w:rPr>
                <w:rFonts w:ascii="Arial" w:hAnsi="Arial"/>
                <w:sz w:val="19"/>
              </w:rPr>
              <w:t>تعريف النظام المحاسبي وأهدافه وأهميته، والمعادلة المحاسبية: الأصول = الخصوم + حقوق الملكية، وتصنيف الحسابات، وطريقة القيد المزدوج والدورة المحاسبية الأساسية، وتسجيل العمليات المالية كالبيع والشراء والمصروفات والإيرادات، وحسابات T ودليل الحسابات، والقيد في دفتر اليومية والترحيل إلى دفتر الأستاذ، وتطبيقات محاسبية تراعي الخصائص القطاعية للمنشآت.</w:t>
            </w:r>
          </w:p>
        </w:tc>
        <w:tc>
          <w:tcPr>
            <w:tcW w:type="dxa" w:w="2835"/>
            <w:vAlign w:val="top"/>
          </w:tcPr>
          <w:p>
            <w:pPr>
              <w:spacing w:after="40"/>
              <w:jc w:val="right"/>
            </w:pPr>
            <w:r>
              <w:rPr>
                <w:rFonts w:ascii="Arial" w:hAnsi="Arial"/>
                <w:sz w:val="19"/>
              </w:rPr>
              <w:t>المحاسبة العامة - 1</w:t>
            </w:r>
          </w:p>
        </w:tc>
        <w:tc>
          <w:tcPr>
            <w:tcW w:type="dxa" w:w="1247"/>
            <w:vAlign w:val="top"/>
          </w:tcPr>
          <w:p>
            <w:pPr>
              <w:spacing w:after="40"/>
              <w:jc w:val="center"/>
            </w:pPr>
            <w:r>
              <w:rPr>
                <w:rFonts w:ascii="Arial" w:hAnsi="Arial"/>
                <w:sz w:val="19"/>
              </w:rPr>
              <w:t>2601106</w:t>
            </w:r>
          </w:p>
        </w:tc>
      </w:tr>
      <w:tr>
        <w:tc>
          <w:tcPr>
            <w:tcW w:type="dxa" w:w="6520"/>
            <w:vAlign w:val="top"/>
          </w:tcPr>
          <w:p>
            <w:pPr>
              <w:spacing w:after="40"/>
              <w:jc w:val="right"/>
            </w:pPr>
            <w:r>
              <w:rPr>
                <w:rFonts w:ascii="Arial" w:hAnsi="Arial"/>
                <w:sz w:val="19"/>
              </w:rPr>
              <w:t>العناصر الأساسية لقواعد اللغة التركية: علم الأصوات، وقواعد الإملاء، وعلامات الترقيم، وأنواع الكلمات وبنية الجملة، والفئات النحوية كالاسم والفعل والصفة والظرف وحروف الجر، والجمل البسيطة والمركبة والمعقدة، وأخطاء التعبير وتصحيحها، واختيار المفردات والعلاقات الدلالية، وتنمية المهارات اللغوية للتواصل الفعال، وأسس الكتابة الأكاديمية.</w:t>
            </w:r>
          </w:p>
        </w:tc>
        <w:tc>
          <w:tcPr>
            <w:tcW w:type="dxa" w:w="2835"/>
            <w:vAlign w:val="top"/>
          </w:tcPr>
          <w:p>
            <w:pPr>
              <w:spacing w:after="40"/>
              <w:jc w:val="right"/>
            </w:pPr>
            <w:r>
              <w:rPr>
                <w:rFonts w:ascii="Arial" w:hAnsi="Arial"/>
                <w:sz w:val="19"/>
              </w:rPr>
              <w:t>اللغة التركية - 1</w:t>
            </w:r>
          </w:p>
        </w:tc>
        <w:tc>
          <w:tcPr>
            <w:tcW w:type="dxa" w:w="1247"/>
            <w:vAlign w:val="top"/>
          </w:tcPr>
          <w:p>
            <w:pPr>
              <w:spacing w:after="40"/>
              <w:jc w:val="center"/>
            </w:pPr>
            <w:r>
              <w:rPr>
                <w:rFonts w:ascii="Arial" w:hAnsi="Arial"/>
                <w:sz w:val="19"/>
              </w:rPr>
              <w:t>2601107</w:t>
            </w:r>
          </w:p>
        </w:tc>
      </w:tr>
      <w:tr>
        <w:tc>
          <w:tcPr>
            <w:tcW w:type="dxa" w:w="6520"/>
            <w:vAlign w:val="top"/>
          </w:tcPr>
          <w:p>
            <w:pPr>
              <w:spacing w:after="40"/>
              <w:jc w:val="right"/>
            </w:pPr>
            <w:r>
              <w:rPr>
                <w:rFonts w:ascii="Arial" w:hAnsi="Arial"/>
                <w:sz w:val="19"/>
              </w:rPr>
              <w:t>المراحل الأساسية للبحث العلمي: اختيار الموضوع، وصياغة سؤال البحث والفرضية، والبحث عن المعلومات باستخدام المصادر الأولية والثانوية، والاستخدام الفعال للمكتبات وقواعد البيانات، وتقييم موثوقية المصادر، وأساليب الاقتباس والتوثيق وفق APA وMLA وChicago، وإعداد العروض الشفوية وتقديمها، وتصميم المواد البصرية بفاعلية، وتقنيات التأثير في الجمهور.</w:t>
            </w:r>
          </w:p>
        </w:tc>
        <w:tc>
          <w:tcPr>
            <w:tcW w:type="dxa" w:w="2835"/>
            <w:vAlign w:val="top"/>
          </w:tcPr>
          <w:p>
            <w:pPr>
              <w:spacing w:after="40"/>
              <w:jc w:val="right"/>
            </w:pPr>
            <w:r>
              <w:rPr>
                <w:rFonts w:ascii="Arial" w:hAnsi="Arial"/>
                <w:sz w:val="19"/>
              </w:rPr>
              <w:t>تقنيات البحث والعرض - 1</w:t>
            </w:r>
          </w:p>
        </w:tc>
        <w:tc>
          <w:tcPr>
            <w:tcW w:type="dxa" w:w="1247"/>
            <w:vAlign w:val="top"/>
          </w:tcPr>
          <w:p>
            <w:pPr>
              <w:spacing w:after="40"/>
              <w:jc w:val="center"/>
            </w:pPr>
            <w:r>
              <w:rPr>
                <w:rFonts w:ascii="Arial" w:hAnsi="Arial"/>
                <w:sz w:val="19"/>
              </w:rPr>
              <w:t>2601108</w:t>
            </w:r>
          </w:p>
        </w:tc>
      </w:tr>
    </w:tbl>
    <w:p/>
    <w:p>
      <w:pPr>
        <w:jc w:val="right"/>
      </w:pPr>
      <w:r>
        <w:rPr>
          <w:b/>
          <w:sz w:val="28"/>
        </w:rPr>
        <w:t>الفصل الدراسي 2</w:t>
      </w:r>
    </w:p>
    <w:tbl>
      <w:tblPr>
        <w:tblStyle w:val="TableGrid"/>
        <w:tblW w:type="auto" w:w="0"/>
        <w:jc w:val="center"/>
        <w:tblLook w:firstColumn="1" w:firstRow="1" w:lastColumn="0" w:lastRow="0" w:noHBand="0" w:noVBand="1" w:val="04A0"/>
      </w:tblPr>
      <w:tblGrid>
        <w:gridCol w:w="3513"/>
        <w:gridCol w:w="3513"/>
        <w:gridCol w:w="3513"/>
      </w:tblGrid>
      <w:tr>
        <w:tc>
          <w:tcPr>
            <w:tcW w:type="dxa" w:w="6520"/>
            <w:vAlign w:val="center"/>
          </w:tcPr>
          <w:p>
            <w:pPr>
              <w:jc w:val="center"/>
            </w:pPr>
            <w:r>
              <w:rPr>
                <w:b/>
                <w:sz w:val="21"/>
              </w:rPr>
              <w:t>محتوى المقرر</w:t>
            </w:r>
          </w:p>
        </w:tc>
        <w:tc>
          <w:tcPr>
            <w:tcW w:type="dxa" w:w="2835"/>
            <w:vAlign w:val="center"/>
          </w:tcPr>
          <w:p>
            <w:pPr>
              <w:jc w:val="center"/>
            </w:pPr>
            <w:r>
              <w:rPr>
                <w:b/>
                <w:sz w:val="21"/>
              </w:rPr>
              <w:t>اسم المقرر</w:t>
            </w:r>
          </w:p>
        </w:tc>
        <w:tc>
          <w:tcPr>
            <w:tcW w:type="dxa" w:w="1247"/>
            <w:vAlign w:val="center"/>
          </w:tcPr>
          <w:p>
            <w:pPr>
              <w:jc w:val="center"/>
            </w:pPr>
            <w:r>
              <w:rPr>
                <w:b/>
                <w:sz w:val="21"/>
              </w:rPr>
              <w:t>رمز المقرر</w:t>
            </w:r>
          </w:p>
        </w:tc>
      </w:tr>
      <w:tr>
        <w:tc>
          <w:tcPr>
            <w:tcW w:type="dxa" w:w="6520"/>
            <w:vAlign w:val="top"/>
          </w:tcPr>
          <w:p>
            <w:pPr>
              <w:spacing w:after="40"/>
              <w:jc w:val="right"/>
            </w:pPr>
            <w:r>
              <w:rPr>
                <w:rFonts w:ascii="Arial" w:hAnsi="Arial"/>
                <w:sz w:val="19"/>
              </w:rPr>
              <w:t>تحليل متعمق لإصلاحات أتاتورك في مجالات التعليم والقضاء والسياسة والقانون والاقتصاد والمجتمع والثقافة، والإصلاحات الدينية والقانونية ومنها تقنين القوانين والقانون المدني، وأهمية تغيير الأبجدية التركية وتطبيقه، والتحديث الحضري والاستثمارات في البنية التحتية، وتطور أطروحة التاريخ القومي، ومفاهيم التغريب والحداثة، والآثار الاجتماعية للإصلاحات ومسار تحقيق هدف بلوغ مستوى الحضارة المعاصرة.</w:t>
            </w:r>
          </w:p>
        </w:tc>
        <w:tc>
          <w:tcPr>
            <w:tcW w:type="dxa" w:w="2835"/>
            <w:vAlign w:val="top"/>
          </w:tcPr>
          <w:p>
            <w:pPr>
              <w:spacing w:after="40"/>
              <w:jc w:val="right"/>
            </w:pPr>
            <w:r>
              <w:rPr>
                <w:rFonts w:ascii="Arial" w:hAnsi="Arial"/>
                <w:sz w:val="19"/>
              </w:rPr>
              <w:t>مبادئ أتاتورك وتاريخ الإصلاحات - 2</w:t>
            </w:r>
          </w:p>
        </w:tc>
        <w:tc>
          <w:tcPr>
            <w:tcW w:type="dxa" w:w="1247"/>
            <w:vAlign w:val="top"/>
          </w:tcPr>
          <w:p>
            <w:pPr>
              <w:spacing w:after="40"/>
              <w:jc w:val="center"/>
            </w:pPr>
            <w:r>
              <w:rPr>
                <w:rFonts w:ascii="Arial" w:hAnsi="Arial"/>
                <w:sz w:val="19"/>
              </w:rPr>
              <w:t>2601201</w:t>
            </w:r>
          </w:p>
        </w:tc>
      </w:tr>
      <w:tr>
        <w:tc>
          <w:tcPr>
            <w:tcW w:type="dxa" w:w="6520"/>
            <w:vAlign w:val="top"/>
          </w:tcPr>
          <w:p>
            <w:pPr>
              <w:spacing w:after="40"/>
              <w:jc w:val="right"/>
            </w:pPr>
            <w:r>
              <w:rPr>
                <w:rFonts w:ascii="Arial" w:hAnsi="Arial"/>
                <w:sz w:val="19"/>
              </w:rPr>
              <w:t>التحليل الاقتصادي الكلي: قياس الناتج المحلي الإجمالي والدخل القومي والإنفاق، ومعدلات البطالة وأنواعها، والتضخم والانكماش، والميزان التجاري والحساب الجاري، والموازنة العامة والسياسة المالية، والسياسة النقدية والمصارف المركزية، واستراتيجيات النمو والتنمية الاقتصادية، وآليات التجارة الدولية، وأسباب الأزمات الاقتصادية ونتائجها.</w:t>
            </w:r>
          </w:p>
        </w:tc>
        <w:tc>
          <w:tcPr>
            <w:tcW w:type="dxa" w:w="2835"/>
            <w:vAlign w:val="top"/>
          </w:tcPr>
          <w:p>
            <w:pPr>
              <w:spacing w:after="40"/>
              <w:jc w:val="right"/>
            </w:pPr>
            <w:r>
              <w:rPr>
                <w:rFonts w:ascii="Arial" w:hAnsi="Arial"/>
                <w:sz w:val="19"/>
              </w:rPr>
              <w:t>مدخل إلى الاقتصاد - 2</w:t>
            </w:r>
          </w:p>
        </w:tc>
        <w:tc>
          <w:tcPr>
            <w:tcW w:type="dxa" w:w="1247"/>
            <w:vAlign w:val="top"/>
          </w:tcPr>
          <w:p>
            <w:pPr>
              <w:spacing w:after="40"/>
              <w:jc w:val="center"/>
            </w:pPr>
            <w:r>
              <w:rPr>
                <w:rFonts w:ascii="Arial" w:hAnsi="Arial"/>
                <w:sz w:val="19"/>
              </w:rPr>
              <w:t>2601202</w:t>
            </w:r>
          </w:p>
        </w:tc>
      </w:tr>
      <w:tr>
        <w:tc>
          <w:tcPr>
            <w:tcW w:type="dxa" w:w="6520"/>
            <w:vAlign w:val="top"/>
          </w:tcPr>
          <w:p>
            <w:pPr>
              <w:spacing w:after="40"/>
              <w:jc w:val="right"/>
            </w:pPr>
            <w:r>
              <w:rPr>
                <w:rFonts w:ascii="Arial" w:hAnsi="Arial"/>
                <w:sz w:val="19"/>
              </w:rPr>
              <w:t>قانون التجارة الدولية، بما في ذلك عقود البيع الدولي واتفاقية CISG وقواعد Incoterms والشروط التجارية، وقانون العقود من حيث الإنشاء والأحكام والانقضاء، وحماية المستهلك، وحماية الاسم التجاري والأسرار التجارية، وأسس قانون التأمين، وعقود النقل، وسندات الشحن ووثائق التأمين، ومدخل إلى الوساطة والتحكيم لتسوية المنازعات.</w:t>
            </w:r>
          </w:p>
        </w:tc>
        <w:tc>
          <w:tcPr>
            <w:tcW w:type="dxa" w:w="2835"/>
            <w:vAlign w:val="top"/>
          </w:tcPr>
          <w:p>
            <w:pPr>
              <w:spacing w:after="40"/>
              <w:jc w:val="right"/>
            </w:pPr>
            <w:r>
              <w:rPr>
                <w:rFonts w:ascii="Arial" w:hAnsi="Arial"/>
                <w:sz w:val="19"/>
              </w:rPr>
              <w:t>مدخل إلى القانون - 2</w:t>
            </w:r>
          </w:p>
        </w:tc>
        <w:tc>
          <w:tcPr>
            <w:tcW w:type="dxa" w:w="1247"/>
            <w:vAlign w:val="top"/>
          </w:tcPr>
          <w:p>
            <w:pPr>
              <w:spacing w:after="40"/>
              <w:jc w:val="center"/>
            </w:pPr>
            <w:r>
              <w:rPr>
                <w:rFonts w:ascii="Arial" w:hAnsi="Arial"/>
                <w:sz w:val="19"/>
              </w:rPr>
              <w:t>2601203</w:t>
            </w:r>
          </w:p>
        </w:tc>
      </w:tr>
      <w:tr>
        <w:tc>
          <w:tcPr>
            <w:tcW w:type="dxa" w:w="6520"/>
            <w:vAlign w:val="top"/>
          </w:tcPr>
          <w:p>
            <w:pPr>
              <w:spacing w:after="40"/>
              <w:jc w:val="right"/>
            </w:pPr>
            <w:r>
              <w:rPr>
                <w:rFonts w:ascii="Arial" w:hAnsi="Arial"/>
                <w:sz w:val="19"/>
              </w:rPr>
              <w:t>قواعد متقدمة في اللغة الإنجليزية تشمل الجمل الشرطية والكلام المنقول والمبني للمجهول والأزمنة التامة، وأساليب الكتابة الأكاديمية والمهنية، والمراسلات التجارية مثل الرسائل الرسمية والبريد الإلكتروني والعروض والطلبات، والمصطلحات التقنية، وفهم النصوص وتلخيصها، ولغة النقاش والتفاوض، والتدريبات المكثفة على النطق والمحادثة واستراتيجيات التواصل في البيئات المهنية.</w:t>
            </w:r>
          </w:p>
        </w:tc>
        <w:tc>
          <w:tcPr>
            <w:tcW w:type="dxa" w:w="2835"/>
            <w:vAlign w:val="top"/>
          </w:tcPr>
          <w:p>
            <w:pPr>
              <w:spacing w:after="40"/>
              <w:jc w:val="right"/>
            </w:pPr>
            <w:r>
              <w:rPr>
                <w:rFonts w:ascii="Arial" w:hAnsi="Arial"/>
                <w:sz w:val="19"/>
              </w:rPr>
              <w:t>اللغة الإنجليزية - 2</w:t>
            </w:r>
          </w:p>
        </w:tc>
        <w:tc>
          <w:tcPr>
            <w:tcW w:type="dxa" w:w="1247"/>
            <w:vAlign w:val="top"/>
          </w:tcPr>
          <w:p>
            <w:pPr>
              <w:spacing w:after="40"/>
              <w:jc w:val="center"/>
            </w:pPr>
            <w:r>
              <w:rPr>
                <w:rFonts w:ascii="Arial" w:hAnsi="Arial"/>
                <w:sz w:val="19"/>
              </w:rPr>
              <w:t>2601204</w:t>
            </w:r>
          </w:p>
        </w:tc>
      </w:tr>
      <w:tr>
        <w:tc>
          <w:tcPr>
            <w:tcW w:type="dxa" w:w="6520"/>
            <w:vAlign w:val="top"/>
          </w:tcPr>
          <w:p>
            <w:pPr>
              <w:spacing w:after="40"/>
              <w:jc w:val="right"/>
            </w:pPr>
            <w:r>
              <w:rPr>
                <w:rFonts w:ascii="Arial" w:hAnsi="Arial"/>
                <w:sz w:val="19"/>
              </w:rPr>
              <w:t>استراتيجيات الأعمال والمنافسة: تحليل SWOT، ونموذج قوى بورتر الخمس، وتحليل سلسلة القيمة، وتجزئة السوق والأسواق المستهدفة، ودورة حياة المنتج، واستراتيجيات التسعير، ووظائف المبيعات والتسويق، وإدارة علاقات العملاء، وتحليل المنافسين، والميزة التنافسية المستدامة، ومقاييس نجاح الأعمال ومؤشرات الأداء الرئيسية KPI.</w:t>
            </w:r>
          </w:p>
        </w:tc>
        <w:tc>
          <w:tcPr>
            <w:tcW w:type="dxa" w:w="2835"/>
            <w:vAlign w:val="top"/>
          </w:tcPr>
          <w:p>
            <w:pPr>
              <w:spacing w:after="40"/>
              <w:jc w:val="right"/>
            </w:pPr>
            <w:r>
              <w:rPr>
                <w:rFonts w:ascii="Arial" w:hAnsi="Arial"/>
                <w:sz w:val="19"/>
              </w:rPr>
              <w:t>مدخل إلى إدارة الأعمال - 2</w:t>
            </w:r>
          </w:p>
        </w:tc>
        <w:tc>
          <w:tcPr>
            <w:tcW w:type="dxa" w:w="1247"/>
            <w:vAlign w:val="top"/>
          </w:tcPr>
          <w:p>
            <w:pPr>
              <w:spacing w:after="40"/>
              <w:jc w:val="center"/>
            </w:pPr>
            <w:r>
              <w:rPr>
                <w:rFonts w:ascii="Arial" w:hAnsi="Arial"/>
                <w:sz w:val="19"/>
              </w:rPr>
              <w:t>2601205</w:t>
            </w:r>
          </w:p>
        </w:tc>
      </w:tr>
      <w:tr>
        <w:tc>
          <w:tcPr>
            <w:tcW w:type="dxa" w:w="6520"/>
            <w:vAlign w:val="top"/>
          </w:tcPr>
          <w:p>
            <w:pPr>
              <w:spacing w:after="40"/>
              <w:jc w:val="right"/>
            </w:pPr>
            <w:r>
              <w:rPr>
                <w:rFonts w:ascii="Arial" w:hAnsi="Arial"/>
                <w:sz w:val="19"/>
              </w:rPr>
              <w:t>إعداد القوائم المالية: قائمة الدخل، والتحليل التفصيلي للميزانية العمومية، وقائمة التدفقات النقدية، والمعايير المحاسبية ذات الصلة، ومدخل إلى الأطراف ذات العلاقة والتوحيد، وتقييم الأصول والإهلاك، ومبادئ التقارير المالية، والتدقيق المستقل وتقرير المدقق، ومراجعة السجلات المحاسبية، وأسس المحاسبة الضريبية ومحاسبة المنشآت والتكاليف.</w:t>
            </w:r>
          </w:p>
        </w:tc>
        <w:tc>
          <w:tcPr>
            <w:tcW w:type="dxa" w:w="2835"/>
            <w:vAlign w:val="top"/>
          </w:tcPr>
          <w:p>
            <w:pPr>
              <w:spacing w:after="40"/>
              <w:jc w:val="right"/>
            </w:pPr>
            <w:r>
              <w:rPr>
                <w:rFonts w:ascii="Arial" w:hAnsi="Arial"/>
                <w:sz w:val="19"/>
              </w:rPr>
              <w:t>المحاسبة العامة - 2</w:t>
            </w:r>
          </w:p>
        </w:tc>
        <w:tc>
          <w:tcPr>
            <w:tcW w:type="dxa" w:w="1247"/>
            <w:vAlign w:val="top"/>
          </w:tcPr>
          <w:p>
            <w:pPr>
              <w:spacing w:after="40"/>
              <w:jc w:val="center"/>
            </w:pPr>
            <w:r>
              <w:rPr>
                <w:rFonts w:ascii="Arial" w:hAnsi="Arial"/>
                <w:sz w:val="19"/>
              </w:rPr>
              <w:t>2601206</w:t>
            </w:r>
          </w:p>
        </w:tc>
      </w:tr>
      <w:tr>
        <w:tc>
          <w:tcPr>
            <w:tcW w:type="dxa" w:w="6520"/>
            <w:vAlign w:val="top"/>
          </w:tcPr>
          <w:p>
            <w:pPr>
              <w:spacing w:after="40"/>
              <w:jc w:val="right"/>
            </w:pPr>
            <w:r>
              <w:rPr>
                <w:rFonts w:ascii="Arial" w:hAnsi="Arial"/>
                <w:sz w:val="19"/>
              </w:rPr>
              <w:t>علم النص وتحليل النصوص: أنواع النصوص التفسيرية والحجاجية والسردية، وبنية النص وترابطه، وتقنيات بناء الفقرة، وصياغة العناوين واستخراج الفكرة الرئيسة، والكتابة العلمية وكتابة المقال البحثي، وتحليل النصوص الأدبية، وأنواع الكتابة الخاصة مثل السيرة الذاتية وخطاب الدافع والمقال، والتحرير والمراجعة، والأخلاقيات الأكاديمية والانتحال.</w:t>
            </w:r>
          </w:p>
        </w:tc>
        <w:tc>
          <w:tcPr>
            <w:tcW w:type="dxa" w:w="2835"/>
            <w:vAlign w:val="top"/>
          </w:tcPr>
          <w:p>
            <w:pPr>
              <w:spacing w:after="40"/>
              <w:jc w:val="right"/>
            </w:pPr>
            <w:r>
              <w:rPr>
                <w:rFonts w:ascii="Arial" w:hAnsi="Arial"/>
                <w:sz w:val="19"/>
              </w:rPr>
              <w:t>اللغة التركية - 2</w:t>
            </w:r>
          </w:p>
        </w:tc>
        <w:tc>
          <w:tcPr>
            <w:tcW w:type="dxa" w:w="1247"/>
            <w:vAlign w:val="top"/>
          </w:tcPr>
          <w:p>
            <w:pPr>
              <w:spacing w:after="40"/>
              <w:jc w:val="center"/>
            </w:pPr>
            <w:r>
              <w:rPr>
                <w:rFonts w:ascii="Arial" w:hAnsi="Arial"/>
                <w:sz w:val="19"/>
              </w:rPr>
              <w:t>2601207</w:t>
            </w:r>
          </w:p>
        </w:tc>
      </w:tr>
      <w:tr>
        <w:tc>
          <w:tcPr>
            <w:tcW w:type="dxa" w:w="6520"/>
            <w:vAlign w:val="top"/>
          </w:tcPr>
          <w:p>
            <w:pPr>
              <w:spacing w:after="40"/>
              <w:jc w:val="right"/>
            </w:pPr>
            <w:r>
              <w:rPr>
                <w:rFonts w:ascii="Arial" w:hAnsi="Arial"/>
                <w:sz w:val="19"/>
              </w:rPr>
              <w:t>التحليل الإحصائي والتمثيل البياني: التوزيع والمتوسط والانحراف المعياري، وجداول التكرار والجداول التقاطعية، وإنشاء الرسوم البيانية بالأعمدة والقطاعات والخطوط والمبعثر، وتفسير البيانات واستخلاص الدلالات، وعرض نتائج البحوث، والملصقات الأكاديمية وجلسات عرضها، ومعايير كتابة المقال العلمي، وبرامج إدارة المراجع مثل Mendeley وZotero، وإعداد التقارير البحثية المتعمقة.</w:t>
            </w:r>
          </w:p>
        </w:tc>
        <w:tc>
          <w:tcPr>
            <w:tcW w:type="dxa" w:w="2835"/>
            <w:vAlign w:val="top"/>
          </w:tcPr>
          <w:p>
            <w:pPr>
              <w:spacing w:after="40"/>
              <w:jc w:val="right"/>
            </w:pPr>
            <w:r>
              <w:rPr>
                <w:rFonts w:ascii="Arial" w:hAnsi="Arial"/>
                <w:sz w:val="19"/>
              </w:rPr>
              <w:t>تقنيات البحث والعرض - 2</w:t>
            </w:r>
          </w:p>
        </w:tc>
        <w:tc>
          <w:tcPr>
            <w:tcW w:type="dxa" w:w="1247"/>
            <w:vAlign w:val="top"/>
          </w:tcPr>
          <w:p>
            <w:pPr>
              <w:spacing w:after="40"/>
              <w:jc w:val="center"/>
            </w:pPr>
            <w:r>
              <w:rPr>
                <w:rFonts w:ascii="Arial" w:hAnsi="Arial"/>
                <w:sz w:val="19"/>
              </w:rPr>
              <w:t>2601208</w:t>
            </w:r>
          </w:p>
        </w:tc>
      </w:tr>
    </w:tbl>
    <w:p/>
    <w:p>
      <w:pPr>
        <w:jc w:val="right"/>
      </w:pPr>
      <w:r>
        <w:rPr>
          <w:b/>
          <w:sz w:val="28"/>
        </w:rPr>
        <w:t>الفصل الدراسي 3</w:t>
      </w:r>
    </w:p>
    <w:tbl>
      <w:tblPr>
        <w:tblStyle w:val="TableGrid"/>
        <w:tblW w:type="auto" w:w="0"/>
        <w:jc w:val="center"/>
        <w:tblLook w:firstColumn="1" w:firstRow="1" w:lastColumn="0" w:lastRow="0" w:noHBand="0" w:noVBand="1" w:val="04A0"/>
      </w:tblPr>
      <w:tblGrid>
        <w:gridCol w:w="3513"/>
        <w:gridCol w:w="3513"/>
        <w:gridCol w:w="3513"/>
      </w:tblGrid>
      <w:tr>
        <w:tc>
          <w:tcPr>
            <w:tcW w:type="dxa" w:w="6520"/>
            <w:vAlign w:val="center"/>
          </w:tcPr>
          <w:p>
            <w:pPr>
              <w:jc w:val="center"/>
            </w:pPr>
            <w:r>
              <w:rPr>
                <w:b/>
                <w:sz w:val="21"/>
              </w:rPr>
              <w:t>محتوى المقرر</w:t>
            </w:r>
          </w:p>
        </w:tc>
        <w:tc>
          <w:tcPr>
            <w:tcW w:type="dxa" w:w="2835"/>
            <w:vAlign w:val="center"/>
          </w:tcPr>
          <w:p>
            <w:pPr>
              <w:jc w:val="center"/>
            </w:pPr>
            <w:r>
              <w:rPr>
                <w:b/>
                <w:sz w:val="21"/>
              </w:rPr>
              <w:t>اسم المقرر</w:t>
            </w:r>
          </w:p>
        </w:tc>
        <w:tc>
          <w:tcPr>
            <w:tcW w:type="dxa" w:w="1247"/>
            <w:vAlign w:val="center"/>
          </w:tcPr>
          <w:p>
            <w:pPr>
              <w:jc w:val="center"/>
            </w:pPr>
            <w:r>
              <w:rPr>
                <w:b/>
                <w:sz w:val="21"/>
              </w:rPr>
              <w:t>رمز المقرر</w:t>
            </w:r>
          </w:p>
        </w:tc>
      </w:tr>
      <w:tr>
        <w:tc>
          <w:tcPr>
            <w:tcW w:type="dxa" w:w="6520"/>
            <w:vAlign w:val="top"/>
          </w:tcPr>
          <w:p>
            <w:pPr>
              <w:spacing w:after="40"/>
              <w:jc w:val="right"/>
            </w:pPr>
            <w:r>
              <w:rPr>
                <w:rFonts w:ascii="Arial" w:hAnsi="Arial"/>
                <w:sz w:val="19"/>
              </w:rPr>
              <w:t>الإنجليزية التجارية: المراسلات التجارية ونصوص المبيعات والتسويق ونماذج العروض والطلبات، ومصطلحات اللوجستيات البحرية والبرية والجوية، واللغة الإنجليزية في وثائق الجمارك والتصدير، وقراءة اتفاقيات التجارة الدولية، وعروض الأسعار ومراسلات التفاوض، ومصطلحات وثائق النقل مثل سند الشحن الجوي والبحري، ووثائق التأمين، والعروض والعروض المقابلة، والمصطلحات المهنية المتخصصة.</w:t>
            </w:r>
          </w:p>
        </w:tc>
        <w:tc>
          <w:tcPr>
            <w:tcW w:type="dxa" w:w="2835"/>
            <w:vAlign w:val="top"/>
          </w:tcPr>
          <w:p>
            <w:pPr>
              <w:spacing w:after="40"/>
              <w:jc w:val="right"/>
            </w:pPr>
            <w:r>
              <w:rPr>
                <w:rFonts w:ascii="Arial" w:hAnsi="Arial"/>
                <w:sz w:val="19"/>
              </w:rPr>
              <w:t>اللغة الإنجليزية - 3</w:t>
            </w:r>
          </w:p>
        </w:tc>
        <w:tc>
          <w:tcPr>
            <w:tcW w:type="dxa" w:w="1247"/>
            <w:vAlign w:val="top"/>
          </w:tcPr>
          <w:p>
            <w:pPr>
              <w:spacing w:after="40"/>
              <w:jc w:val="center"/>
            </w:pPr>
            <w:r>
              <w:rPr>
                <w:rFonts w:ascii="Arial" w:hAnsi="Arial"/>
                <w:sz w:val="19"/>
              </w:rPr>
              <w:t>2601301</w:t>
            </w:r>
          </w:p>
        </w:tc>
      </w:tr>
      <w:tr>
        <w:tc>
          <w:tcPr>
            <w:tcW w:type="dxa" w:w="6520"/>
            <w:vAlign w:val="top"/>
          </w:tcPr>
          <w:p>
            <w:pPr>
              <w:spacing w:after="40"/>
              <w:jc w:val="right"/>
            </w:pPr>
            <w:r>
              <w:rPr>
                <w:rFonts w:ascii="Arial" w:hAnsi="Arial"/>
                <w:sz w:val="19"/>
              </w:rPr>
              <w:t>نظريات التجارة الدولية: الميزة المطلقة لآدم سميث، والميزة النسبية لديفيد ريكاردو، ونظرية هيكشر-أولين، وآليات التجارة الخارجية وتدفقاتها، وأسواق الصرف وأساليب تحديد سعر الصرف والمعاملات الفورية والآجلة، والنظام النقدي الدولي وبريتون وودز، والمؤسسات المالية والتجارية الدولية مثل IMF والبنك الدولي وWTO، والميزان التجاري وميزان المدفوعات، والحواجز الجمركية وغير الجمركية، والاتفاقيات والتكاملات التجارية.</w:t>
            </w:r>
          </w:p>
        </w:tc>
        <w:tc>
          <w:tcPr>
            <w:tcW w:type="dxa" w:w="2835"/>
            <w:vAlign w:val="top"/>
          </w:tcPr>
          <w:p>
            <w:pPr>
              <w:spacing w:after="40"/>
              <w:jc w:val="right"/>
            </w:pPr>
            <w:r>
              <w:rPr>
                <w:rFonts w:ascii="Arial" w:hAnsi="Arial"/>
                <w:sz w:val="19"/>
              </w:rPr>
              <w:t>التجارة الدولية والنقود والتمويل - 1</w:t>
            </w:r>
          </w:p>
        </w:tc>
        <w:tc>
          <w:tcPr>
            <w:tcW w:type="dxa" w:w="1247"/>
            <w:vAlign w:val="top"/>
          </w:tcPr>
          <w:p>
            <w:pPr>
              <w:spacing w:after="40"/>
              <w:jc w:val="center"/>
            </w:pPr>
            <w:r>
              <w:rPr>
                <w:rFonts w:ascii="Arial" w:hAnsi="Arial"/>
                <w:sz w:val="19"/>
              </w:rPr>
              <w:t>2601302</w:t>
            </w:r>
          </w:p>
        </w:tc>
      </w:tr>
      <w:tr>
        <w:tc>
          <w:tcPr>
            <w:tcW w:type="dxa" w:w="6520"/>
            <w:vAlign w:val="top"/>
          </w:tcPr>
          <w:p>
            <w:pPr>
              <w:spacing w:after="40"/>
              <w:jc w:val="right"/>
            </w:pPr>
            <w:r>
              <w:rPr>
                <w:rFonts w:ascii="Arial" w:hAnsi="Arial"/>
                <w:sz w:val="19"/>
              </w:rPr>
              <w:t>وظائف وأهداف تمويل الأعمال، وأدوات التحليل المالي مثل نسب السيولة والربحية والتمويل، والتمويل قصير الأجل وإدارة رأس المال العامل، ومصادر التمويل طويل الأجل من حقوق الملكية والاقتراض، وعمليات إعداد الموازنات وتنفيذها ورقابتها، وموازنة النفقات والنقد، وقرارات الاستثمار والموازنة الرأسمالية، والتخطيط والتنبؤ المالي، وإدارة المخاطر والرقابة المالية.</w:t>
            </w:r>
          </w:p>
        </w:tc>
        <w:tc>
          <w:tcPr>
            <w:tcW w:type="dxa" w:w="2835"/>
            <w:vAlign w:val="top"/>
          </w:tcPr>
          <w:p>
            <w:pPr>
              <w:spacing w:after="40"/>
              <w:jc w:val="right"/>
            </w:pPr>
            <w:r>
              <w:rPr>
                <w:rFonts w:ascii="Arial" w:hAnsi="Arial"/>
                <w:sz w:val="19"/>
              </w:rPr>
              <w:t>مدخل إلى تمويل الأعمال - 1</w:t>
            </w:r>
          </w:p>
        </w:tc>
        <w:tc>
          <w:tcPr>
            <w:tcW w:type="dxa" w:w="1247"/>
            <w:vAlign w:val="top"/>
          </w:tcPr>
          <w:p>
            <w:pPr>
              <w:spacing w:after="40"/>
              <w:jc w:val="center"/>
            </w:pPr>
            <w:r>
              <w:rPr>
                <w:rFonts w:ascii="Arial" w:hAnsi="Arial"/>
                <w:sz w:val="19"/>
              </w:rPr>
              <w:t>2601303</w:t>
            </w:r>
          </w:p>
        </w:tc>
      </w:tr>
      <w:tr>
        <w:tc>
          <w:tcPr>
            <w:tcW w:type="dxa" w:w="6520"/>
            <w:vAlign w:val="top"/>
          </w:tcPr>
          <w:p>
            <w:pPr>
              <w:spacing w:after="40"/>
              <w:jc w:val="right"/>
            </w:pPr>
            <w:r>
              <w:rPr>
                <w:rFonts w:ascii="Arial" w:hAnsi="Arial"/>
                <w:sz w:val="19"/>
              </w:rPr>
              <w:t>الإطار القانوني للعمليات اللوجستية، والمسؤوليات والحقوق بحسب أنماط النقل، وسند الشحن B/L ووثائق النقل الأخرى، ومسؤولية الناقل وحقوق والتزامات المرسل والمرسل إليه، وتأمين الناقل، وصياغة العقود التجارية وتفسيرها، وشروط البيع وفق Incoterms مثل CIF وFOB وDDP، والتحكيم والوساطة في تسوية المنازعات.</w:t>
            </w:r>
          </w:p>
        </w:tc>
        <w:tc>
          <w:tcPr>
            <w:tcW w:type="dxa" w:w="2835"/>
            <w:vAlign w:val="top"/>
          </w:tcPr>
          <w:p>
            <w:pPr>
              <w:spacing w:after="40"/>
              <w:jc w:val="right"/>
            </w:pPr>
            <w:r>
              <w:rPr>
                <w:rFonts w:ascii="Arial" w:hAnsi="Arial"/>
                <w:sz w:val="19"/>
              </w:rPr>
              <w:t>قانون اللوجستيات والتجارة - 1</w:t>
            </w:r>
          </w:p>
        </w:tc>
        <w:tc>
          <w:tcPr>
            <w:tcW w:type="dxa" w:w="1247"/>
            <w:vAlign w:val="top"/>
          </w:tcPr>
          <w:p>
            <w:pPr>
              <w:spacing w:after="40"/>
              <w:jc w:val="center"/>
            </w:pPr>
            <w:r>
              <w:rPr>
                <w:rFonts w:ascii="Arial" w:hAnsi="Arial"/>
                <w:sz w:val="19"/>
              </w:rPr>
              <w:t>2601304</w:t>
            </w:r>
          </w:p>
        </w:tc>
      </w:tr>
      <w:tr>
        <w:tc>
          <w:tcPr>
            <w:tcW w:type="dxa" w:w="6520"/>
            <w:vAlign w:val="top"/>
          </w:tcPr>
          <w:p>
            <w:pPr>
              <w:spacing w:after="40"/>
              <w:jc w:val="right"/>
            </w:pPr>
            <w:r>
              <w:rPr>
                <w:rFonts w:ascii="Arial" w:hAnsi="Arial"/>
                <w:sz w:val="19"/>
              </w:rPr>
              <w:t>الخصائص العامة للوجستيات البرية، وإدارة المركبات والأساطيل، وتخطيط المسارات وتحسينها، واستهلاك الوقود وتكاليف التشغيل، ومسؤوليات السائق والناقل، وتخطيط الطاقة الاستيعابية، واستخدام شبكة الطرق وإدارة المرور، والتشريعات الاجتماعية وساعات الخدمة HOS، وتقليل الآثار البيئية واللوجستيات الخضراء، وأنظمة GPS والتتبع، وتأمين النقل.</w:t>
            </w:r>
          </w:p>
        </w:tc>
        <w:tc>
          <w:tcPr>
            <w:tcW w:type="dxa" w:w="2835"/>
            <w:vAlign w:val="top"/>
          </w:tcPr>
          <w:p>
            <w:pPr>
              <w:spacing w:after="40"/>
              <w:jc w:val="right"/>
            </w:pPr>
            <w:r>
              <w:rPr>
                <w:rFonts w:ascii="Arial" w:hAnsi="Arial"/>
                <w:sz w:val="19"/>
              </w:rPr>
              <w:t>إدارة النقل البري والعمليات اللوجستية - 1</w:t>
            </w:r>
          </w:p>
        </w:tc>
        <w:tc>
          <w:tcPr>
            <w:tcW w:type="dxa" w:w="1247"/>
            <w:vAlign w:val="top"/>
          </w:tcPr>
          <w:p>
            <w:pPr>
              <w:spacing w:after="40"/>
              <w:jc w:val="center"/>
            </w:pPr>
            <w:r>
              <w:rPr>
                <w:rFonts w:ascii="Arial" w:hAnsi="Arial"/>
                <w:sz w:val="19"/>
              </w:rPr>
              <w:t>2601305</w:t>
            </w:r>
          </w:p>
        </w:tc>
      </w:tr>
      <w:tr>
        <w:tc>
          <w:tcPr>
            <w:tcW w:type="dxa" w:w="6520"/>
            <w:vAlign w:val="top"/>
          </w:tcPr>
          <w:p>
            <w:pPr>
              <w:spacing w:after="40"/>
              <w:jc w:val="right"/>
            </w:pPr>
            <w:r>
              <w:rPr>
                <w:rFonts w:ascii="Arial" w:hAnsi="Arial"/>
                <w:sz w:val="19"/>
              </w:rPr>
              <w:t>تطور نظريات الإدارة: الكلاسيكية والنيوكلاسيكية والسلوكية والحديثة، ووظائف الإدارة: التخطيط والتنظيم والتوجيه والرقابة، والهياكل التنظيمية الهرمية والمصفوفية والمشروعاتية، وأسس إدارة الموارد البشرية، والوصف والتحليل الوظيفي، وتخطيط القوى العاملة، وأنماط القيادة، ونظريات الدافعية مثل ماسلو وهيرزبرغ وماكغريغور، والعمل الجماعي والثقافة التنظيمية وإدارة التغيير.</w:t>
            </w:r>
          </w:p>
        </w:tc>
        <w:tc>
          <w:tcPr>
            <w:tcW w:type="dxa" w:w="2835"/>
            <w:vAlign w:val="top"/>
          </w:tcPr>
          <w:p>
            <w:pPr>
              <w:spacing w:after="40"/>
              <w:jc w:val="right"/>
            </w:pPr>
            <w:r>
              <w:rPr>
                <w:rFonts w:ascii="Arial" w:hAnsi="Arial"/>
                <w:sz w:val="19"/>
              </w:rPr>
              <w:t>الإدارة والتنظيم</w:t>
            </w:r>
          </w:p>
        </w:tc>
        <w:tc>
          <w:tcPr>
            <w:tcW w:type="dxa" w:w="1247"/>
            <w:vAlign w:val="top"/>
          </w:tcPr>
          <w:p>
            <w:pPr>
              <w:spacing w:after="40"/>
              <w:jc w:val="center"/>
            </w:pPr>
            <w:r>
              <w:rPr>
                <w:rFonts w:ascii="Arial" w:hAnsi="Arial"/>
                <w:sz w:val="19"/>
              </w:rPr>
              <w:t>2601306</w:t>
            </w:r>
          </w:p>
        </w:tc>
      </w:tr>
      <w:tr>
        <w:tc>
          <w:tcPr>
            <w:tcW w:type="dxa" w:w="6520"/>
            <w:vAlign w:val="top"/>
          </w:tcPr>
          <w:p>
            <w:pPr>
              <w:spacing w:after="40"/>
              <w:jc w:val="right"/>
            </w:pPr>
            <w:r>
              <w:rPr>
                <w:rFonts w:ascii="Arial" w:hAnsi="Arial"/>
                <w:sz w:val="19"/>
              </w:rPr>
              <w:t>هيكل القوائم المالية ومكوناتها، والتحليل الأفقي أو تحليل الاتجاهات لمتابعة التغير عبر الزمن، والتحليل الرأسي للعلاقات النسبية بين البنود، والنسب المالية مثل السيولة والنشاط والربحية ROE وROA والمديونية، وتحليل DuPont، والتحليل المقارن، وتقييم ربحية المنشأة، والتصنيف الائتماني، وإعداد التنبؤات المالية.</w:t>
            </w:r>
          </w:p>
        </w:tc>
        <w:tc>
          <w:tcPr>
            <w:tcW w:type="dxa" w:w="2835"/>
            <w:vAlign w:val="top"/>
          </w:tcPr>
          <w:p>
            <w:pPr>
              <w:spacing w:after="40"/>
              <w:jc w:val="right"/>
            </w:pPr>
            <w:r>
              <w:rPr>
                <w:rFonts w:ascii="Arial" w:hAnsi="Arial"/>
                <w:sz w:val="19"/>
              </w:rPr>
              <w:t>تحليل القوائم المالية</w:t>
            </w:r>
          </w:p>
        </w:tc>
        <w:tc>
          <w:tcPr>
            <w:tcW w:type="dxa" w:w="1247"/>
            <w:vAlign w:val="top"/>
          </w:tcPr>
          <w:p>
            <w:pPr>
              <w:spacing w:after="40"/>
              <w:jc w:val="center"/>
            </w:pPr>
            <w:r>
              <w:rPr>
                <w:rFonts w:ascii="Arial" w:hAnsi="Arial"/>
                <w:sz w:val="19"/>
              </w:rPr>
              <w:t>2601307</w:t>
            </w:r>
          </w:p>
        </w:tc>
      </w:tr>
      <w:tr>
        <w:tc>
          <w:tcPr>
            <w:tcW w:type="dxa" w:w="6520"/>
            <w:vAlign w:val="top"/>
          </w:tcPr>
          <w:p>
            <w:pPr>
              <w:spacing w:after="40"/>
              <w:jc w:val="right"/>
            </w:pPr>
            <w:r>
              <w:rPr>
                <w:rFonts w:ascii="Arial" w:hAnsi="Arial"/>
                <w:sz w:val="19"/>
              </w:rPr>
              <w:t>الإحصاء الوصفي وطرق جمع البيانات وتصنيفها ومقاييس النزعة المركزية والتشتت، ونظرية الاحتمالات والأحداث التابعة والمستقلة، وتوزيعات الاحتمال مثل الطبيعي وثنائي الحدين وبواسون، ونظرية الحد المركزي، وفترات الثقة، واختبارات الفرضيات مثل t ومربع كاي وANOVA، وبرامج تحليل البيانات مثل Excel وSPSS، واستخدام الإحصاء في قرارات الأعمال.</w:t>
            </w:r>
          </w:p>
        </w:tc>
        <w:tc>
          <w:tcPr>
            <w:tcW w:type="dxa" w:w="2835"/>
            <w:vAlign w:val="top"/>
          </w:tcPr>
          <w:p>
            <w:pPr>
              <w:spacing w:after="40"/>
              <w:jc w:val="right"/>
            </w:pPr>
            <w:r>
              <w:rPr>
                <w:rFonts w:ascii="Arial" w:hAnsi="Arial"/>
                <w:sz w:val="19"/>
              </w:rPr>
              <w:t>الإحصاء</w:t>
            </w:r>
          </w:p>
        </w:tc>
        <w:tc>
          <w:tcPr>
            <w:tcW w:type="dxa" w:w="1247"/>
            <w:vAlign w:val="top"/>
          </w:tcPr>
          <w:p>
            <w:pPr>
              <w:spacing w:after="40"/>
              <w:jc w:val="center"/>
            </w:pPr>
            <w:r>
              <w:rPr>
                <w:rFonts w:ascii="Arial" w:hAnsi="Arial"/>
                <w:sz w:val="19"/>
              </w:rPr>
              <w:t>2601308</w:t>
            </w:r>
          </w:p>
        </w:tc>
      </w:tr>
      <w:tr>
        <w:tc>
          <w:tcPr>
            <w:tcW w:type="dxa" w:w="6520"/>
            <w:vAlign w:val="top"/>
          </w:tcPr>
          <w:p>
            <w:pPr>
              <w:spacing w:after="40"/>
              <w:jc w:val="right"/>
            </w:pPr>
            <w:r>
              <w:rPr>
                <w:rFonts w:ascii="Arial" w:hAnsi="Arial"/>
                <w:sz w:val="19"/>
              </w:rPr>
              <w:t>المصطلحات والمفاهيم التقنية في قطاعي اللوجستيات والتجارة، ومصطلحات التخزين والشحن، واللغة الإنجليزية في إجراءات الجمارك والضرائب، وكتابة التقارير اللوجستية، ومصطلحات إدارة سلسلة التوريد، وإنجليزية إدارة المشروعات، وإعداد عروض الأعمال وتقديمها، وقراءة الوثائق التقنية وفهمها، ودراسات الحالة القطاعية والمناقشات المهنية.</w:t>
            </w:r>
          </w:p>
        </w:tc>
        <w:tc>
          <w:tcPr>
            <w:tcW w:type="dxa" w:w="2835"/>
            <w:vAlign w:val="top"/>
          </w:tcPr>
          <w:p>
            <w:pPr>
              <w:spacing w:after="40"/>
              <w:jc w:val="right"/>
            </w:pPr>
            <w:r>
              <w:rPr>
                <w:rFonts w:ascii="Arial" w:hAnsi="Arial"/>
                <w:sz w:val="19"/>
              </w:rPr>
              <w:t>اللغة الإنجليزية المهنية - 1</w:t>
            </w:r>
          </w:p>
        </w:tc>
        <w:tc>
          <w:tcPr>
            <w:tcW w:type="dxa" w:w="1247"/>
            <w:vAlign w:val="top"/>
          </w:tcPr>
          <w:p>
            <w:pPr>
              <w:spacing w:after="40"/>
              <w:jc w:val="center"/>
            </w:pPr>
            <w:r>
              <w:rPr>
                <w:rFonts w:ascii="Arial" w:hAnsi="Arial"/>
                <w:sz w:val="19"/>
              </w:rPr>
              <w:t>2601309</w:t>
            </w:r>
          </w:p>
        </w:tc>
      </w:tr>
    </w:tbl>
    <w:p/>
    <w:p>
      <w:pPr>
        <w:jc w:val="right"/>
      </w:pPr>
      <w:r>
        <w:rPr>
          <w:b/>
          <w:sz w:val="28"/>
        </w:rPr>
        <w:t>الفصل الدراسي 4</w:t>
      </w:r>
    </w:p>
    <w:tbl>
      <w:tblPr>
        <w:tblStyle w:val="TableGrid"/>
        <w:tblW w:type="auto" w:w="0"/>
        <w:jc w:val="center"/>
        <w:tblLook w:firstColumn="1" w:firstRow="1" w:lastColumn="0" w:lastRow="0" w:noHBand="0" w:noVBand="1" w:val="04A0"/>
      </w:tblPr>
      <w:tblGrid>
        <w:gridCol w:w="3513"/>
        <w:gridCol w:w="3513"/>
        <w:gridCol w:w="3513"/>
      </w:tblGrid>
      <w:tr>
        <w:tc>
          <w:tcPr>
            <w:tcW w:type="dxa" w:w="6520"/>
            <w:vAlign w:val="center"/>
          </w:tcPr>
          <w:p>
            <w:pPr>
              <w:jc w:val="center"/>
            </w:pPr>
            <w:r>
              <w:rPr>
                <w:b/>
                <w:sz w:val="21"/>
              </w:rPr>
              <w:t>محتوى المقرر</w:t>
            </w:r>
          </w:p>
        </w:tc>
        <w:tc>
          <w:tcPr>
            <w:tcW w:type="dxa" w:w="2835"/>
            <w:vAlign w:val="center"/>
          </w:tcPr>
          <w:p>
            <w:pPr>
              <w:jc w:val="center"/>
            </w:pPr>
            <w:r>
              <w:rPr>
                <w:b/>
                <w:sz w:val="21"/>
              </w:rPr>
              <w:t>اسم المقرر</w:t>
            </w:r>
          </w:p>
        </w:tc>
        <w:tc>
          <w:tcPr>
            <w:tcW w:type="dxa" w:w="1247"/>
            <w:vAlign w:val="center"/>
          </w:tcPr>
          <w:p>
            <w:pPr>
              <w:jc w:val="center"/>
            </w:pPr>
            <w:r>
              <w:rPr>
                <w:b/>
                <w:sz w:val="21"/>
              </w:rPr>
              <w:t>رمز المقرر</w:t>
            </w:r>
          </w:p>
        </w:tc>
      </w:tr>
      <w:tr>
        <w:tc>
          <w:tcPr>
            <w:tcW w:type="dxa" w:w="6520"/>
            <w:vAlign w:val="top"/>
          </w:tcPr>
          <w:p>
            <w:pPr>
              <w:spacing w:after="40"/>
              <w:jc w:val="right"/>
            </w:pPr>
            <w:r>
              <w:rPr>
                <w:rFonts w:ascii="Arial" w:hAnsi="Arial"/>
                <w:sz w:val="19"/>
              </w:rPr>
              <w:t>الإنجليزية المهنية المتقدمة: لغة التفاوض واستراتيجياته، والتعبير عن الوصول إلى الاتفاق، ومراسلات الشروط والأحكام، ومفاوضات البيع وتقنيات المساومة، والتعبير عن الشكاوى والمشكلات، ولغة الاجتماعات والمقابلات الرسمية، والعروض القطاعية المطولة، والدراسة المتعمقة للمصطلحات المتخصصة، وقراءة المقالات والأبحاث الأكاديمية، والمشاركة في المؤتمرات وبناء الشبكات المهنية، وتحسين جودة المراسلات الاحترافية.</w:t>
            </w:r>
          </w:p>
        </w:tc>
        <w:tc>
          <w:tcPr>
            <w:tcW w:type="dxa" w:w="2835"/>
            <w:vAlign w:val="top"/>
          </w:tcPr>
          <w:p>
            <w:pPr>
              <w:spacing w:after="40"/>
              <w:jc w:val="right"/>
            </w:pPr>
            <w:r>
              <w:rPr>
                <w:rFonts w:ascii="Arial" w:hAnsi="Arial"/>
                <w:sz w:val="19"/>
              </w:rPr>
              <w:t>اللغة الإنجليزية - 4</w:t>
            </w:r>
          </w:p>
        </w:tc>
        <w:tc>
          <w:tcPr>
            <w:tcW w:type="dxa" w:w="1247"/>
            <w:vAlign w:val="top"/>
          </w:tcPr>
          <w:p>
            <w:pPr>
              <w:spacing w:after="40"/>
              <w:jc w:val="center"/>
            </w:pPr>
            <w:r>
              <w:rPr>
                <w:rFonts w:ascii="Arial" w:hAnsi="Arial"/>
                <w:sz w:val="19"/>
              </w:rPr>
              <w:t>2601401</w:t>
            </w:r>
          </w:p>
        </w:tc>
      </w:tr>
      <w:tr>
        <w:tc>
          <w:tcPr>
            <w:tcW w:type="dxa" w:w="6520"/>
            <w:vAlign w:val="top"/>
          </w:tcPr>
          <w:p>
            <w:pPr>
              <w:spacing w:after="40"/>
              <w:jc w:val="right"/>
            </w:pPr>
            <w:r>
              <w:rPr>
                <w:rFonts w:ascii="Arial" w:hAnsi="Arial"/>
                <w:sz w:val="19"/>
              </w:rPr>
              <w:t>المؤسسات المالية الدولية ووظائفها مثل IMF والبنك الدولي وSWIFT، وهيكل ميزان المدفوعات وتحليله، وإدارة الدين الخارجي، والمحافظ الاستثمارية الدولية، وحركات رأس المال والاستثمار المباشر، والتكتلات التجارية والاتحادات الجمركية، والتعاون النقدي وأسعار الصرف، وآليات الأزمات المالية، وتمويل التجارة الدولية، والنظريات النقدية، وآثار العولمة في التمويل.</w:t>
            </w:r>
          </w:p>
        </w:tc>
        <w:tc>
          <w:tcPr>
            <w:tcW w:type="dxa" w:w="2835"/>
            <w:vAlign w:val="top"/>
          </w:tcPr>
          <w:p>
            <w:pPr>
              <w:spacing w:after="40"/>
              <w:jc w:val="right"/>
            </w:pPr>
            <w:r>
              <w:rPr>
                <w:rFonts w:ascii="Arial" w:hAnsi="Arial"/>
                <w:sz w:val="19"/>
              </w:rPr>
              <w:t>التجارة الدولية والنقود والتمويل - 2</w:t>
            </w:r>
          </w:p>
        </w:tc>
        <w:tc>
          <w:tcPr>
            <w:tcW w:type="dxa" w:w="1247"/>
            <w:vAlign w:val="top"/>
          </w:tcPr>
          <w:p>
            <w:pPr>
              <w:spacing w:after="40"/>
              <w:jc w:val="center"/>
            </w:pPr>
            <w:r>
              <w:rPr>
                <w:rFonts w:ascii="Arial" w:hAnsi="Arial"/>
                <w:sz w:val="19"/>
              </w:rPr>
              <w:t>2601402</w:t>
            </w:r>
          </w:p>
        </w:tc>
      </w:tr>
      <w:tr>
        <w:tc>
          <w:tcPr>
            <w:tcW w:type="dxa" w:w="6520"/>
            <w:vAlign w:val="top"/>
          </w:tcPr>
          <w:p>
            <w:pPr>
              <w:spacing w:after="40"/>
              <w:jc w:val="right"/>
            </w:pPr>
            <w:r>
              <w:rPr>
                <w:rFonts w:ascii="Arial" w:hAnsi="Arial"/>
                <w:sz w:val="19"/>
              </w:rPr>
              <w:t>قرارات هيكل رأس المال ومقارنة بدائل التمويل، وسياسة توزيعات الأرباح، والمخاطر المالية مثل مخاطر سعر الفائدة والصرف والائتمان، وأدوات إدارة المخاطر كالتغطية والعقود المستقبلية والخيارات، وقرارات الاستثمار طويل الأجل، وتقييم المشروعات باستخدام NPV وIRR ومؤشر الربحية، والهشاشة المالية ومخاطر السيولة، ومؤشرات الاستقرار المالي، وطرق تقييم المنشآت.</w:t>
            </w:r>
          </w:p>
        </w:tc>
        <w:tc>
          <w:tcPr>
            <w:tcW w:type="dxa" w:w="2835"/>
            <w:vAlign w:val="top"/>
          </w:tcPr>
          <w:p>
            <w:pPr>
              <w:spacing w:after="40"/>
              <w:jc w:val="right"/>
            </w:pPr>
            <w:r>
              <w:rPr>
                <w:rFonts w:ascii="Arial" w:hAnsi="Arial"/>
                <w:sz w:val="19"/>
              </w:rPr>
              <w:t>مدخل إلى تمويل الأعمال - 2</w:t>
            </w:r>
          </w:p>
        </w:tc>
        <w:tc>
          <w:tcPr>
            <w:tcW w:type="dxa" w:w="1247"/>
            <w:vAlign w:val="top"/>
          </w:tcPr>
          <w:p>
            <w:pPr>
              <w:spacing w:after="40"/>
              <w:jc w:val="center"/>
            </w:pPr>
            <w:r>
              <w:rPr>
                <w:rFonts w:ascii="Arial" w:hAnsi="Arial"/>
                <w:sz w:val="19"/>
              </w:rPr>
              <w:t>2601403</w:t>
            </w:r>
          </w:p>
        </w:tc>
      </w:tr>
      <w:tr>
        <w:tc>
          <w:tcPr>
            <w:tcW w:type="dxa" w:w="6520"/>
            <w:vAlign w:val="top"/>
          </w:tcPr>
          <w:p>
            <w:pPr>
              <w:spacing w:after="40"/>
              <w:jc w:val="right"/>
            </w:pPr>
            <w:r>
              <w:rPr>
                <w:rFonts w:ascii="Arial" w:hAnsi="Arial"/>
                <w:sz w:val="19"/>
              </w:rPr>
              <w:t>التشريعات والإجراءات الجمركية، والإقرارات والوثائق الجمركية، والمستودعات والمراكز الجمركية، ورد الضرائب والإعفاءات، والسرية التجارية وحماية الملكية الفكرية، واتفاقيات النقل الدولي مثل CMR وCIM واتفاقية وارسو، وقانون التأمين ودعاوى التعويض، وقانون الشحن الجوي وفق اتفاقية مونتريال، وحدود المسؤولية في النقل البحري.</w:t>
            </w:r>
          </w:p>
        </w:tc>
        <w:tc>
          <w:tcPr>
            <w:tcW w:type="dxa" w:w="2835"/>
            <w:vAlign w:val="top"/>
          </w:tcPr>
          <w:p>
            <w:pPr>
              <w:spacing w:after="40"/>
              <w:jc w:val="right"/>
            </w:pPr>
            <w:r>
              <w:rPr>
                <w:rFonts w:ascii="Arial" w:hAnsi="Arial"/>
                <w:sz w:val="19"/>
              </w:rPr>
              <w:t>قانون اللوجستيات والتجارة - 2</w:t>
            </w:r>
          </w:p>
        </w:tc>
        <w:tc>
          <w:tcPr>
            <w:tcW w:type="dxa" w:w="1247"/>
            <w:vAlign w:val="top"/>
          </w:tcPr>
          <w:p>
            <w:pPr>
              <w:spacing w:after="40"/>
              <w:jc w:val="center"/>
            </w:pPr>
            <w:r>
              <w:rPr>
                <w:rFonts w:ascii="Arial" w:hAnsi="Arial"/>
                <w:sz w:val="19"/>
              </w:rPr>
              <w:t>2601404</w:t>
            </w:r>
          </w:p>
        </w:tc>
      </w:tr>
      <w:tr>
        <w:tc>
          <w:tcPr>
            <w:tcW w:type="dxa" w:w="6520"/>
            <w:vAlign w:val="top"/>
          </w:tcPr>
          <w:p>
            <w:pPr>
              <w:spacing w:after="40"/>
              <w:jc w:val="right"/>
            </w:pPr>
            <w:r>
              <w:rPr>
                <w:rFonts w:ascii="Arial" w:hAnsi="Arial"/>
                <w:sz w:val="19"/>
              </w:rPr>
              <w:t>التخطيط اللوجستي المتقدم وتحسين سلسلة التوريد، وخوارزميات تخطيط المسارات الديناميكية، واختيار نوع المركبة وتحليل استخدامها، والتحليل التفصيلي لتكاليف النقل الثابتة والمتغيرة، ومقاييس الأداء مثل OEE وKPI، ومستويات الخدمة وأداء التسليم، والتخطيط للطوارئ، وحساب البصمة الكربونية، وتطبيقات اللوجستيات الخضراء، والابتكارات التقنية في النقل البري.</w:t>
            </w:r>
          </w:p>
        </w:tc>
        <w:tc>
          <w:tcPr>
            <w:tcW w:type="dxa" w:w="2835"/>
            <w:vAlign w:val="top"/>
          </w:tcPr>
          <w:p>
            <w:pPr>
              <w:spacing w:after="40"/>
              <w:jc w:val="right"/>
            </w:pPr>
            <w:r>
              <w:rPr>
                <w:rFonts w:ascii="Arial" w:hAnsi="Arial"/>
                <w:sz w:val="19"/>
              </w:rPr>
              <w:t>إدارة النقل البري والعمليات اللوجستية - 2</w:t>
            </w:r>
          </w:p>
        </w:tc>
        <w:tc>
          <w:tcPr>
            <w:tcW w:type="dxa" w:w="1247"/>
            <w:vAlign w:val="top"/>
          </w:tcPr>
          <w:p>
            <w:pPr>
              <w:spacing w:after="40"/>
              <w:jc w:val="center"/>
            </w:pPr>
            <w:r>
              <w:rPr>
                <w:rFonts w:ascii="Arial" w:hAnsi="Arial"/>
                <w:sz w:val="19"/>
              </w:rPr>
              <w:t>2601405</w:t>
            </w:r>
          </w:p>
        </w:tc>
      </w:tr>
      <w:tr>
        <w:tc>
          <w:tcPr>
            <w:tcW w:type="dxa" w:w="6520"/>
            <w:vAlign w:val="top"/>
          </w:tcPr>
          <w:p>
            <w:pPr>
              <w:spacing w:after="40"/>
              <w:jc w:val="right"/>
            </w:pPr>
            <w:r>
              <w:rPr>
                <w:rFonts w:ascii="Arial" w:hAnsi="Arial"/>
                <w:sz w:val="19"/>
              </w:rPr>
              <w:t>اتفاقية ADR الخاصة بالنقل الدولي للمواد الخطرة على الطرق واللوائح المرتبطة بها، وتصنيف المواد الخطرة ووضع العلامات عليها، وتدريب العاملين وشهاداتهم، ومتطلبات التعبئة والتغليف والوسم، ووثائق النقل والمعلومات اللازمة، والمتطلبات الخاصة بالسائق والمركبة، وإجراءات الطوارئ وإرشادات السلامة. كما يتناول المقرر لوجستيات الأحمال الثقيلة والمركبات الخاصة وتخطيط المسارات والتصاريح المرورية الخاصة وتأمين الأحمال الثقيلة.</w:t>
            </w:r>
          </w:p>
        </w:tc>
        <w:tc>
          <w:tcPr>
            <w:tcW w:type="dxa" w:w="2835"/>
            <w:vAlign w:val="top"/>
          </w:tcPr>
          <w:p>
            <w:pPr>
              <w:spacing w:after="40"/>
              <w:jc w:val="right"/>
            </w:pPr>
            <w:r>
              <w:rPr>
                <w:rFonts w:ascii="Arial" w:hAnsi="Arial"/>
                <w:sz w:val="19"/>
              </w:rPr>
              <w:t>اتفاقية ADR لنقل المواد الخطرة والنقل الثقيل</w:t>
            </w:r>
          </w:p>
        </w:tc>
        <w:tc>
          <w:tcPr>
            <w:tcW w:type="dxa" w:w="1247"/>
            <w:vAlign w:val="top"/>
          </w:tcPr>
          <w:p>
            <w:pPr>
              <w:spacing w:after="40"/>
              <w:jc w:val="center"/>
            </w:pPr>
            <w:r>
              <w:rPr>
                <w:rFonts w:ascii="Arial" w:hAnsi="Arial"/>
                <w:sz w:val="19"/>
              </w:rPr>
              <w:t>2601406</w:t>
            </w:r>
          </w:p>
        </w:tc>
      </w:tr>
      <w:tr>
        <w:tc>
          <w:tcPr>
            <w:tcW w:type="dxa" w:w="6520"/>
            <w:vAlign w:val="top"/>
          </w:tcPr>
          <w:p>
            <w:pPr>
              <w:spacing w:after="40"/>
              <w:jc w:val="right"/>
            </w:pPr>
            <w:r>
              <w:rPr>
                <w:rFonts w:ascii="Arial" w:hAnsi="Arial"/>
                <w:sz w:val="19"/>
              </w:rPr>
              <w:t>أساليب التحليل متعدد المتغيرات مثل الانحدار المتعدد وتحليل المسار، وأساليب التصنيف كالتحليل التمييزي والانحدار اللوجستي، والتحليل العاملي وتحليل المكونات الرئيسة PCA، والتحليل العنقودي، وتحليل السلاسل الزمنية والتنبؤ بالاتجاهات، وANOVA والاختبارات المرتبطة به، وأسس تنقيب البيانات ومدخل إلى تعلم الآلة، وتطبيقات SPSS وR وPython في اتخاذ قرارات الأعمال.</w:t>
            </w:r>
          </w:p>
        </w:tc>
        <w:tc>
          <w:tcPr>
            <w:tcW w:type="dxa" w:w="2835"/>
            <w:vAlign w:val="top"/>
          </w:tcPr>
          <w:p>
            <w:pPr>
              <w:spacing w:after="40"/>
              <w:jc w:val="right"/>
            </w:pPr>
            <w:r>
              <w:rPr>
                <w:rFonts w:ascii="Arial" w:hAnsi="Arial"/>
                <w:sz w:val="19"/>
              </w:rPr>
              <w:t>التحليل الإحصائي</w:t>
            </w:r>
          </w:p>
        </w:tc>
        <w:tc>
          <w:tcPr>
            <w:tcW w:type="dxa" w:w="1247"/>
            <w:vAlign w:val="top"/>
          </w:tcPr>
          <w:p>
            <w:pPr>
              <w:spacing w:after="40"/>
              <w:jc w:val="center"/>
            </w:pPr>
            <w:r>
              <w:rPr>
                <w:rFonts w:ascii="Arial" w:hAnsi="Arial"/>
                <w:sz w:val="19"/>
              </w:rPr>
              <w:t>2601407</w:t>
            </w:r>
          </w:p>
        </w:tc>
      </w:tr>
      <w:tr>
        <w:tc>
          <w:tcPr>
            <w:tcW w:type="dxa" w:w="6520"/>
            <w:vAlign w:val="top"/>
          </w:tcPr>
          <w:p>
            <w:pPr>
              <w:spacing w:after="40"/>
              <w:jc w:val="right"/>
            </w:pPr>
            <w:r>
              <w:rPr>
                <w:rFonts w:ascii="Arial" w:hAnsi="Arial"/>
                <w:sz w:val="19"/>
              </w:rPr>
              <w:t>حسابات الفائدة البسيطة والمركبة، والخصم ومعدلاته، والدفعات الدورية أو المعاشات الثابتة والمتغيرة، وجداول سداد القروض والإطفاء، والسندات وتقييمها، وقرارات الاستثمار باستخدام صافي القيمة الحالية NPV ومعدل العائد الداخلي IRR، وتحليل نقطة التعادل، وحسابات الربح والخسارة، وتحليل التكلفة والمنفعة، والفروق المالية وتحليل الحساسية.</w:t>
            </w:r>
          </w:p>
        </w:tc>
        <w:tc>
          <w:tcPr>
            <w:tcW w:type="dxa" w:w="2835"/>
            <w:vAlign w:val="top"/>
          </w:tcPr>
          <w:p>
            <w:pPr>
              <w:spacing w:after="40"/>
              <w:jc w:val="right"/>
            </w:pPr>
            <w:r>
              <w:rPr>
                <w:rFonts w:ascii="Arial" w:hAnsi="Arial"/>
                <w:sz w:val="19"/>
              </w:rPr>
              <w:t>الرياضيات التجارية</w:t>
            </w:r>
          </w:p>
        </w:tc>
        <w:tc>
          <w:tcPr>
            <w:tcW w:type="dxa" w:w="1247"/>
            <w:vAlign w:val="top"/>
          </w:tcPr>
          <w:p>
            <w:pPr>
              <w:spacing w:after="40"/>
              <w:jc w:val="center"/>
            </w:pPr>
            <w:r>
              <w:rPr>
                <w:rFonts w:ascii="Arial" w:hAnsi="Arial"/>
                <w:sz w:val="19"/>
              </w:rPr>
              <w:t>2601408</w:t>
            </w:r>
          </w:p>
        </w:tc>
      </w:tr>
      <w:tr>
        <w:tc>
          <w:tcPr>
            <w:tcW w:type="dxa" w:w="6520"/>
            <w:vAlign w:val="top"/>
          </w:tcPr>
          <w:p>
            <w:pPr>
              <w:spacing w:after="40"/>
              <w:jc w:val="right"/>
            </w:pPr>
            <w:r>
              <w:rPr>
                <w:rFonts w:ascii="Arial" w:hAnsi="Arial"/>
                <w:sz w:val="19"/>
              </w:rPr>
              <w:t>وثائق التجارة الدولية: سندات الشحن البحري والجوي وقوائم التعبئة، واللغة الإنجليزية للإقرارات الجمركية ووثائق التعرفة، وإجراءات وشروط الاعتماد المستندي L/C، وأنواع الفواتير مثل الأولية والتجارية والضريبية، وإعداد وثائق الشحن، وقراءة وثائق التأمين، واتفاقيات التوريد وعقود البيع، والتفاوض على الشروط، وإعداد المراسلات المهنية ومراجعتها.</w:t>
            </w:r>
          </w:p>
        </w:tc>
        <w:tc>
          <w:tcPr>
            <w:tcW w:type="dxa" w:w="2835"/>
            <w:vAlign w:val="top"/>
          </w:tcPr>
          <w:p>
            <w:pPr>
              <w:spacing w:after="40"/>
              <w:jc w:val="right"/>
            </w:pPr>
            <w:r>
              <w:rPr>
                <w:rFonts w:ascii="Arial" w:hAnsi="Arial"/>
                <w:sz w:val="19"/>
              </w:rPr>
              <w:t>اللغة الإنجليزية المهنية - 2</w:t>
            </w:r>
          </w:p>
        </w:tc>
        <w:tc>
          <w:tcPr>
            <w:tcW w:type="dxa" w:w="1247"/>
            <w:vAlign w:val="top"/>
          </w:tcPr>
          <w:p>
            <w:pPr>
              <w:spacing w:after="40"/>
              <w:jc w:val="center"/>
            </w:pPr>
            <w:r>
              <w:rPr>
                <w:rFonts w:ascii="Arial" w:hAnsi="Arial"/>
                <w:sz w:val="19"/>
              </w:rPr>
              <w:t>2601409</w:t>
            </w:r>
          </w:p>
        </w:tc>
      </w:tr>
    </w:tbl>
    <w:p/>
    <w:p>
      <w:pPr>
        <w:jc w:val="right"/>
      </w:pPr>
      <w:r>
        <w:rPr>
          <w:b/>
          <w:sz w:val="28"/>
        </w:rPr>
        <w:t>الفصل الدراسي 5</w:t>
      </w:r>
    </w:p>
    <w:tbl>
      <w:tblPr>
        <w:tblStyle w:val="TableGrid"/>
        <w:tblW w:type="auto" w:w="0"/>
        <w:jc w:val="center"/>
        <w:tblLook w:firstColumn="1" w:firstRow="1" w:lastColumn="0" w:lastRow="0" w:noHBand="0" w:noVBand="1" w:val="04A0"/>
      </w:tblPr>
      <w:tblGrid>
        <w:gridCol w:w="3513"/>
        <w:gridCol w:w="3513"/>
        <w:gridCol w:w="3513"/>
      </w:tblGrid>
      <w:tr>
        <w:tc>
          <w:tcPr>
            <w:tcW w:type="dxa" w:w="6520"/>
            <w:vAlign w:val="center"/>
          </w:tcPr>
          <w:p>
            <w:pPr>
              <w:jc w:val="center"/>
            </w:pPr>
            <w:r>
              <w:rPr>
                <w:b/>
                <w:sz w:val="21"/>
              </w:rPr>
              <w:t>محتوى المقرر</w:t>
            </w:r>
          </w:p>
        </w:tc>
        <w:tc>
          <w:tcPr>
            <w:tcW w:type="dxa" w:w="2835"/>
            <w:vAlign w:val="center"/>
          </w:tcPr>
          <w:p>
            <w:pPr>
              <w:jc w:val="center"/>
            </w:pPr>
            <w:r>
              <w:rPr>
                <w:b/>
                <w:sz w:val="21"/>
              </w:rPr>
              <w:t>اسم المقرر</w:t>
            </w:r>
          </w:p>
        </w:tc>
        <w:tc>
          <w:tcPr>
            <w:tcW w:type="dxa" w:w="1247"/>
            <w:vAlign w:val="center"/>
          </w:tcPr>
          <w:p>
            <w:pPr>
              <w:jc w:val="center"/>
            </w:pPr>
            <w:r>
              <w:rPr>
                <w:b/>
                <w:sz w:val="21"/>
              </w:rPr>
              <w:t>رمز المقرر</w:t>
            </w:r>
          </w:p>
        </w:tc>
      </w:tr>
      <w:tr>
        <w:tc>
          <w:tcPr>
            <w:tcW w:type="dxa" w:w="6520"/>
            <w:vAlign w:val="top"/>
          </w:tcPr>
          <w:p>
            <w:pPr>
              <w:spacing w:after="40"/>
              <w:jc w:val="right"/>
            </w:pPr>
            <w:r>
              <w:rPr>
                <w:rFonts w:ascii="Arial" w:hAnsi="Arial"/>
                <w:sz w:val="19"/>
              </w:rPr>
              <w:t>الإنجليزية الأكاديمية: أسلوب الكتابة الأكاديمية ودرجة رسميتها، وبنية المقالات العلمية وخصائصها، وأقسام البحث: الملخص والمقدمة ومراجعة الأدبيات والمنهجية والنتائج والمناقشة، وإدارة الاقتباسات والمراجع، وبناء الحجة الأكاديمية، وتقنيات عرض الندوات، واستخدام الإنجليزية في المؤتمرات، وكتابة المقالات والتقارير العلمية والرسائل الجامعية، والأخلاقيات الأكاديمية والانتحال.</w:t>
            </w:r>
          </w:p>
        </w:tc>
        <w:tc>
          <w:tcPr>
            <w:tcW w:type="dxa" w:w="2835"/>
            <w:vAlign w:val="top"/>
          </w:tcPr>
          <w:p>
            <w:pPr>
              <w:spacing w:after="40"/>
              <w:jc w:val="right"/>
            </w:pPr>
            <w:r>
              <w:rPr>
                <w:rFonts w:ascii="Arial" w:hAnsi="Arial"/>
                <w:sz w:val="19"/>
              </w:rPr>
              <w:t>اللغة الإنجليزية - 5</w:t>
            </w:r>
          </w:p>
        </w:tc>
        <w:tc>
          <w:tcPr>
            <w:tcW w:type="dxa" w:w="1247"/>
            <w:vAlign w:val="top"/>
          </w:tcPr>
          <w:p>
            <w:pPr>
              <w:spacing w:after="40"/>
              <w:jc w:val="center"/>
            </w:pPr>
            <w:r>
              <w:rPr>
                <w:rFonts w:ascii="Arial" w:hAnsi="Arial"/>
                <w:sz w:val="19"/>
              </w:rPr>
              <w:t>2601501</w:t>
            </w:r>
          </w:p>
        </w:tc>
      </w:tr>
      <w:tr>
        <w:tc>
          <w:tcPr>
            <w:tcW w:type="dxa" w:w="6520"/>
            <w:vAlign w:val="top"/>
          </w:tcPr>
          <w:p>
            <w:pPr>
              <w:spacing w:after="40"/>
              <w:jc w:val="right"/>
            </w:pPr>
            <w:r>
              <w:rPr>
                <w:rFonts w:ascii="Arial" w:hAnsi="Arial"/>
                <w:sz w:val="19"/>
              </w:rPr>
              <w:t>الخصائص العامة لنظام السكك الحديدية ومزاياه، وعمليات النقل بالقطارات للركاب والبضائع، والبنية التحتية والتقنيات المرتبطة بالسكك والمركبات، وسلامة السكك وإدارة الحركة، وعمليات المحطات والمحطات النهائية، والموانئ المرتبطة بالسكك، وإعداد تذاكر ووثائق النقل، وتأمين السكك الحديدية، وتشغيل السكك في أوروبا وإطار EU Rail، وتكاليف واقتصاديات اللوجستيات بالسكك الحديدية.</w:t>
            </w:r>
          </w:p>
        </w:tc>
        <w:tc>
          <w:tcPr>
            <w:tcW w:type="dxa" w:w="2835"/>
            <w:vAlign w:val="top"/>
          </w:tcPr>
          <w:p>
            <w:pPr>
              <w:spacing w:after="40"/>
              <w:jc w:val="right"/>
            </w:pPr>
            <w:r>
              <w:rPr>
                <w:rFonts w:ascii="Arial" w:hAnsi="Arial"/>
                <w:sz w:val="19"/>
              </w:rPr>
              <w:t>النقل بالسكك الحديدية</w:t>
            </w:r>
          </w:p>
        </w:tc>
        <w:tc>
          <w:tcPr>
            <w:tcW w:type="dxa" w:w="1247"/>
            <w:vAlign w:val="top"/>
          </w:tcPr>
          <w:p>
            <w:pPr>
              <w:spacing w:after="40"/>
              <w:jc w:val="center"/>
            </w:pPr>
            <w:r>
              <w:rPr>
                <w:rFonts w:ascii="Arial" w:hAnsi="Arial"/>
                <w:sz w:val="19"/>
              </w:rPr>
              <w:t>2601502</w:t>
            </w:r>
          </w:p>
        </w:tc>
      </w:tr>
      <w:tr>
        <w:tc>
          <w:tcPr>
            <w:tcW w:type="dxa" w:w="6520"/>
            <w:vAlign w:val="top"/>
          </w:tcPr>
          <w:p>
            <w:pPr>
              <w:spacing w:after="40"/>
              <w:jc w:val="right"/>
            </w:pPr>
            <w:r>
              <w:rPr>
                <w:rFonts w:ascii="Arial" w:hAnsi="Arial"/>
                <w:sz w:val="19"/>
              </w:rPr>
              <w:t>المبادئ والوظائف الأساسية لإدارة المستودعات، وتصميم المستودع وتخطيطه الداخلي وتقسيمه وارتفاعه وأنظمة الفصل، وأنظمة الرفوف وتقنيات التخزين، وإدارة المخزون باستخدام تحليل ABC وكمية الطلب الاقتصادية EOQ، ونظامي السحب والدفع، وعمليات مراكز التوزيع DC، والالتقاط والتعبئة، وتأثير الأتمتة، ونظم إدارة المستودعات WMS، وتصميم شبكة التوزيع.</w:t>
            </w:r>
          </w:p>
        </w:tc>
        <w:tc>
          <w:tcPr>
            <w:tcW w:type="dxa" w:w="2835"/>
            <w:vAlign w:val="top"/>
          </w:tcPr>
          <w:p>
            <w:pPr>
              <w:spacing w:after="40"/>
              <w:jc w:val="right"/>
            </w:pPr>
            <w:r>
              <w:rPr>
                <w:rFonts w:ascii="Arial" w:hAnsi="Arial"/>
                <w:sz w:val="19"/>
              </w:rPr>
              <w:t>أنظمة التخزين والتوزيع</w:t>
            </w:r>
          </w:p>
        </w:tc>
        <w:tc>
          <w:tcPr>
            <w:tcW w:type="dxa" w:w="1247"/>
            <w:vAlign w:val="top"/>
          </w:tcPr>
          <w:p>
            <w:pPr>
              <w:spacing w:after="40"/>
              <w:jc w:val="center"/>
            </w:pPr>
            <w:r>
              <w:rPr>
                <w:rFonts w:ascii="Arial" w:hAnsi="Arial"/>
                <w:sz w:val="19"/>
              </w:rPr>
              <w:t>2601503</w:t>
            </w:r>
          </w:p>
        </w:tc>
      </w:tr>
      <w:tr>
        <w:tc>
          <w:tcPr>
            <w:tcW w:type="dxa" w:w="6520"/>
            <w:vAlign w:val="top"/>
          </w:tcPr>
          <w:p>
            <w:pPr>
              <w:spacing w:after="40"/>
              <w:jc w:val="right"/>
            </w:pPr>
            <w:r>
              <w:rPr>
                <w:rFonts w:ascii="Arial" w:hAnsi="Arial"/>
                <w:sz w:val="19"/>
              </w:rPr>
              <w:t>المبادئ الأساسية للتشريعات الجمركية، واحتساب الرسوم الجمركية، وإقرارات الاستيراد والتصدير، وتصنيف التعرفة والنظام المنسق HS، وقواعد المنشأ وشهاداته، والمعاملة الجمركية التفضيلية، ونظام المستودعات والمراكز الجمركية، ودور المستشار الجمركي، ورد الرسوم drawback، والرقابة والتفتيش الجمركي، والعقوبات والنزاعات الجمركية.</w:t>
            </w:r>
          </w:p>
        </w:tc>
        <w:tc>
          <w:tcPr>
            <w:tcW w:type="dxa" w:w="2835"/>
            <w:vAlign w:val="top"/>
          </w:tcPr>
          <w:p>
            <w:pPr>
              <w:spacing w:after="40"/>
              <w:jc w:val="right"/>
            </w:pPr>
            <w:r>
              <w:rPr>
                <w:rFonts w:ascii="Arial" w:hAnsi="Arial"/>
                <w:sz w:val="19"/>
              </w:rPr>
              <w:t>الإجراءات والوثائق الجمركية</w:t>
            </w:r>
          </w:p>
        </w:tc>
        <w:tc>
          <w:tcPr>
            <w:tcW w:type="dxa" w:w="1247"/>
            <w:vAlign w:val="top"/>
          </w:tcPr>
          <w:p>
            <w:pPr>
              <w:spacing w:after="40"/>
              <w:jc w:val="center"/>
            </w:pPr>
            <w:r>
              <w:rPr>
                <w:rFonts w:ascii="Arial" w:hAnsi="Arial"/>
                <w:sz w:val="19"/>
              </w:rPr>
              <w:t>2601504</w:t>
            </w:r>
          </w:p>
        </w:tc>
      </w:tr>
      <w:tr>
        <w:tc>
          <w:tcPr>
            <w:tcW w:type="dxa" w:w="6520"/>
            <w:vAlign w:val="top"/>
          </w:tcPr>
          <w:p>
            <w:pPr>
              <w:spacing w:after="40"/>
              <w:jc w:val="right"/>
            </w:pPr>
            <w:r>
              <w:rPr>
                <w:rFonts w:ascii="Arial" w:hAnsi="Arial"/>
                <w:sz w:val="19"/>
              </w:rPr>
              <w:t>مبادئ محاسبة التكاليف وأهدافها، وتصنيف التكاليف إلى ثابتة ومتغيرة وشبه ثابتة وإلى مباشرة وغير مباشرة، وطرق احتساب التكلفة مثل التكلفة الكلية والتكلفة المتغيرة، وتكلفة المنتج من العمالة والمواد الخام والمصاريف الصناعية العامة، ومحاسبة الأقسام ومراكز التكلفة، وتحليل الربح وتحليل التكلفة-الحجم-الربح، والرقابة على التكاليف والتكاليف المعيارية، وتحليل الانحرافات.</w:t>
            </w:r>
          </w:p>
        </w:tc>
        <w:tc>
          <w:tcPr>
            <w:tcW w:type="dxa" w:w="2835"/>
            <w:vAlign w:val="top"/>
          </w:tcPr>
          <w:p>
            <w:pPr>
              <w:spacing w:after="40"/>
              <w:jc w:val="right"/>
            </w:pPr>
            <w:r>
              <w:rPr>
                <w:rFonts w:ascii="Arial" w:hAnsi="Arial"/>
                <w:sz w:val="19"/>
              </w:rPr>
              <w:t>محاسبة التكاليف</w:t>
            </w:r>
          </w:p>
        </w:tc>
        <w:tc>
          <w:tcPr>
            <w:tcW w:type="dxa" w:w="1247"/>
            <w:vAlign w:val="top"/>
          </w:tcPr>
          <w:p>
            <w:pPr>
              <w:spacing w:after="40"/>
              <w:jc w:val="center"/>
            </w:pPr>
            <w:r>
              <w:rPr>
                <w:rFonts w:ascii="Arial" w:hAnsi="Arial"/>
                <w:sz w:val="19"/>
              </w:rPr>
              <w:t>2601505</w:t>
            </w:r>
          </w:p>
        </w:tc>
      </w:tr>
      <w:tr>
        <w:tc>
          <w:tcPr>
            <w:tcW w:type="dxa" w:w="6520"/>
            <w:vAlign w:val="top"/>
          </w:tcPr>
          <w:p>
            <w:pPr>
              <w:spacing w:after="40"/>
              <w:jc w:val="right"/>
            </w:pPr>
            <w:r>
              <w:rPr>
                <w:rFonts w:ascii="Arial" w:hAnsi="Arial"/>
                <w:sz w:val="19"/>
              </w:rPr>
              <w:t>مفهوم رأس المال العامل واحتياجات السيولة، وإدارة الذمم المدينة من خلال سياسة الائتمان والتحصيل والديون المشكوك فيها، وإدارة الذمم الدائنة وشروط الدفع وقرارات الخصم النقدي، وإدارة المخزون ومستوياته وتوقيت الطلب، وإدارة النقد والتنبؤ بالتدفقات والاحتياطي النقدي، وتمويل رأس المال العامل بالقروض قصيرة الأجل والتخصيم، ودورة تحويل النقد، وتحديات رأس المال العامل في المنشآت الصغيرة والمتوسطة.</w:t>
            </w:r>
          </w:p>
        </w:tc>
        <w:tc>
          <w:tcPr>
            <w:tcW w:type="dxa" w:w="2835"/>
            <w:vAlign w:val="top"/>
          </w:tcPr>
          <w:p>
            <w:pPr>
              <w:spacing w:after="40"/>
              <w:jc w:val="right"/>
            </w:pPr>
            <w:r>
              <w:rPr>
                <w:rFonts w:ascii="Arial" w:hAnsi="Arial"/>
                <w:sz w:val="19"/>
              </w:rPr>
              <w:t>إدارة رأس المال العامل</w:t>
            </w:r>
          </w:p>
        </w:tc>
        <w:tc>
          <w:tcPr>
            <w:tcW w:type="dxa" w:w="1247"/>
            <w:vAlign w:val="top"/>
          </w:tcPr>
          <w:p>
            <w:pPr>
              <w:spacing w:after="40"/>
              <w:jc w:val="center"/>
            </w:pPr>
            <w:r>
              <w:rPr>
                <w:rFonts w:ascii="Arial" w:hAnsi="Arial"/>
                <w:sz w:val="19"/>
              </w:rPr>
              <w:t>2601506</w:t>
            </w:r>
          </w:p>
        </w:tc>
      </w:tr>
      <w:tr>
        <w:tc>
          <w:tcPr>
            <w:tcW w:type="dxa" w:w="6520"/>
            <w:vAlign w:val="top"/>
          </w:tcPr>
          <w:p>
            <w:pPr>
              <w:spacing w:after="40"/>
              <w:jc w:val="right"/>
            </w:pPr>
            <w:r>
              <w:rPr>
                <w:rFonts w:ascii="Arial" w:hAnsi="Arial"/>
                <w:sz w:val="19"/>
              </w:rPr>
              <w:t>هيكل أسواق النقد وآليات عملها، ووظائف البنك المركزي، وعمليات المصارف التجارية وأنواع الحسابات، وأدوات السياسة النقدية مثل عمليات السوق المفتوحة وسعر الخصم والاحتياطي الإلزامي، وآليات الائتمان والقروض المجمعة والمشتركة، وخدمات الاستثمار المصرفي، وإدارة المخاطر، وأنظمة الدفع والتحويلات، واللوائح المصرفية ومعايير بازل، والخدمات المصرفية الرقمية والتكنولوجيا المالية.</w:t>
            </w:r>
          </w:p>
        </w:tc>
        <w:tc>
          <w:tcPr>
            <w:tcW w:type="dxa" w:w="2835"/>
            <w:vAlign w:val="top"/>
          </w:tcPr>
          <w:p>
            <w:pPr>
              <w:spacing w:after="40"/>
              <w:jc w:val="right"/>
            </w:pPr>
            <w:r>
              <w:rPr>
                <w:rFonts w:ascii="Arial" w:hAnsi="Arial"/>
                <w:sz w:val="19"/>
              </w:rPr>
              <w:t>النقود والمصارف</w:t>
            </w:r>
          </w:p>
        </w:tc>
        <w:tc>
          <w:tcPr>
            <w:tcW w:type="dxa" w:w="1247"/>
            <w:vAlign w:val="top"/>
          </w:tcPr>
          <w:p>
            <w:pPr>
              <w:spacing w:after="40"/>
              <w:jc w:val="center"/>
            </w:pPr>
            <w:r>
              <w:rPr>
                <w:rFonts w:ascii="Arial" w:hAnsi="Arial"/>
                <w:sz w:val="19"/>
              </w:rPr>
              <w:t>2601507</w:t>
            </w:r>
          </w:p>
        </w:tc>
      </w:tr>
      <w:tr>
        <w:tc>
          <w:tcPr>
            <w:tcW w:type="dxa" w:w="6520"/>
            <w:vAlign w:val="top"/>
          </w:tcPr>
          <w:p>
            <w:pPr>
              <w:spacing w:after="40"/>
              <w:jc w:val="right"/>
            </w:pPr>
            <w:r>
              <w:rPr>
                <w:rFonts w:ascii="Arial" w:hAnsi="Arial"/>
                <w:sz w:val="19"/>
              </w:rPr>
              <w:t>آليات دعم الصادرات مثل المزايا الضريبية والقروض والتأمين، وتأمين ائتمان الصادرات EXIM، وتخفيضات وإعفاءات الرسوم الجمركية، والاتفاقيات الإقليمية التفضيلية والتكتلات التجارية، والمناطق الحرة والمناطق الاقتصادية الخاصة، واعتماد المصدرين، والاستفادة من اتفاقيات التجارة الدولية، وتبسيط إجراءات التصدير، وبرامج الدعم الحكومي، وقواعد منظمة التجارة العالمية والاتفاقيات التفضيلية.</w:t>
            </w:r>
          </w:p>
        </w:tc>
        <w:tc>
          <w:tcPr>
            <w:tcW w:type="dxa" w:w="2835"/>
            <w:vAlign w:val="top"/>
          </w:tcPr>
          <w:p>
            <w:pPr>
              <w:spacing w:after="40"/>
              <w:jc w:val="right"/>
            </w:pPr>
            <w:r>
              <w:rPr>
                <w:rFonts w:ascii="Arial" w:hAnsi="Arial"/>
                <w:sz w:val="19"/>
              </w:rPr>
              <w:t>حوافز التجارة الخارجية</w:t>
            </w:r>
          </w:p>
        </w:tc>
        <w:tc>
          <w:tcPr>
            <w:tcW w:type="dxa" w:w="1247"/>
            <w:vAlign w:val="top"/>
          </w:tcPr>
          <w:p>
            <w:pPr>
              <w:spacing w:after="40"/>
              <w:jc w:val="center"/>
            </w:pPr>
            <w:r>
              <w:rPr>
                <w:rFonts w:ascii="Arial" w:hAnsi="Arial"/>
                <w:sz w:val="19"/>
              </w:rPr>
              <w:t>2601508</w:t>
            </w:r>
          </w:p>
        </w:tc>
      </w:tr>
      <w:tr>
        <w:tc>
          <w:tcPr>
            <w:tcW w:type="dxa" w:w="6520"/>
            <w:vAlign w:val="top"/>
          </w:tcPr>
          <w:p>
            <w:pPr>
              <w:spacing w:after="40"/>
              <w:jc w:val="right"/>
            </w:pPr>
            <w:r>
              <w:rPr>
                <w:rFonts w:ascii="Arial" w:hAnsi="Arial"/>
                <w:sz w:val="19"/>
              </w:rPr>
              <w:t>اللغة الإنجليزية في العمليات اللوجستية الدولية: مراسلات الشراكة ومقابلات الأعمال، واستراتيجيات وتكتيكات التفاوض، وحل النزاعات باللغة الإنجليزية، وعقود الشراكات التجارية وإبرام الاتفاقيات، والتعاون مع مقدمي الخدمات اللوجستية، وتحليل دراسات الحالة ومناقشتها، ومتابعة اتجاهات الصناعة بالإنجليزية، وبناء الشبكات المهنية وقراءة المنشورات المتخصصة.</w:t>
            </w:r>
          </w:p>
        </w:tc>
        <w:tc>
          <w:tcPr>
            <w:tcW w:type="dxa" w:w="2835"/>
            <w:vAlign w:val="top"/>
          </w:tcPr>
          <w:p>
            <w:pPr>
              <w:spacing w:after="40"/>
              <w:jc w:val="right"/>
            </w:pPr>
            <w:r>
              <w:rPr>
                <w:rFonts w:ascii="Arial" w:hAnsi="Arial"/>
                <w:sz w:val="19"/>
              </w:rPr>
              <w:t>اللغة الإنجليزية المهنية - 3</w:t>
            </w:r>
          </w:p>
        </w:tc>
        <w:tc>
          <w:tcPr>
            <w:tcW w:type="dxa" w:w="1247"/>
            <w:vAlign w:val="top"/>
          </w:tcPr>
          <w:p>
            <w:pPr>
              <w:spacing w:after="40"/>
              <w:jc w:val="center"/>
            </w:pPr>
            <w:r>
              <w:rPr>
                <w:rFonts w:ascii="Arial" w:hAnsi="Arial"/>
                <w:sz w:val="19"/>
              </w:rPr>
              <w:t>2601509</w:t>
            </w:r>
          </w:p>
        </w:tc>
      </w:tr>
    </w:tbl>
    <w:p/>
    <w:p>
      <w:pPr>
        <w:jc w:val="right"/>
      </w:pPr>
      <w:r>
        <w:rPr>
          <w:b/>
          <w:sz w:val="28"/>
        </w:rPr>
        <w:t>الفصل الدراسي 6</w:t>
      </w:r>
    </w:p>
    <w:tbl>
      <w:tblPr>
        <w:tblStyle w:val="TableGrid"/>
        <w:tblW w:type="auto" w:w="0"/>
        <w:jc w:val="center"/>
        <w:tblLook w:firstColumn="1" w:firstRow="1" w:lastColumn="0" w:lastRow="0" w:noHBand="0" w:noVBand="1" w:val="04A0"/>
      </w:tblPr>
      <w:tblGrid>
        <w:gridCol w:w="3513"/>
        <w:gridCol w:w="3513"/>
        <w:gridCol w:w="3513"/>
      </w:tblGrid>
      <w:tr>
        <w:tc>
          <w:tcPr>
            <w:tcW w:type="dxa" w:w="6520"/>
            <w:vAlign w:val="center"/>
          </w:tcPr>
          <w:p>
            <w:pPr>
              <w:jc w:val="center"/>
            </w:pPr>
            <w:r>
              <w:rPr>
                <w:b/>
                <w:sz w:val="21"/>
              </w:rPr>
              <w:t>محتوى المقرر</w:t>
            </w:r>
          </w:p>
        </w:tc>
        <w:tc>
          <w:tcPr>
            <w:tcW w:type="dxa" w:w="2835"/>
            <w:vAlign w:val="center"/>
          </w:tcPr>
          <w:p>
            <w:pPr>
              <w:jc w:val="center"/>
            </w:pPr>
            <w:r>
              <w:rPr>
                <w:b/>
                <w:sz w:val="21"/>
              </w:rPr>
              <w:t>اسم المقرر</w:t>
            </w:r>
          </w:p>
        </w:tc>
        <w:tc>
          <w:tcPr>
            <w:tcW w:type="dxa" w:w="1247"/>
            <w:vAlign w:val="center"/>
          </w:tcPr>
          <w:p>
            <w:pPr>
              <w:jc w:val="center"/>
            </w:pPr>
            <w:r>
              <w:rPr>
                <w:b/>
                <w:sz w:val="21"/>
              </w:rPr>
              <w:t>رمز المقرر</w:t>
            </w:r>
          </w:p>
        </w:tc>
      </w:tr>
      <w:tr>
        <w:tc>
          <w:tcPr>
            <w:tcW w:type="dxa" w:w="6520"/>
            <w:vAlign w:val="top"/>
          </w:tcPr>
          <w:p>
            <w:pPr>
              <w:spacing w:after="40"/>
              <w:jc w:val="right"/>
            </w:pPr>
            <w:r>
              <w:rPr>
                <w:rFonts w:ascii="Arial" w:hAnsi="Arial"/>
                <w:sz w:val="19"/>
              </w:rPr>
              <w:t>الإنجليزية المهنية المتقدمة: كتابة التقارير الإدارية ووثائق التخطيط الاستراتيجي وخطط الأعمال، وإعداد عروض المستثمرين، وقراءة التقارير المالية وتحليلها، وتقارير المخاطر والامتثال، والاتصال المؤسسي، وإعداد الإفصاحات العامة وتقارير المسؤولية الاجتماعية، وتنمية مهارات القراءة النقدية وتحليل النصوص والتقييم النقدي، وورش الكتابة المكثفة.</w:t>
            </w:r>
          </w:p>
        </w:tc>
        <w:tc>
          <w:tcPr>
            <w:tcW w:type="dxa" w:w="2835"/>
            <w:vAlign w:val="top"/>
          </w:tcPr>
          <w:p>
            <w:pPr>
              <w:spacing w:after="40"/>
              <w:jc w:val="right"/>
            </w:pPr>
            <w:r>
              <w:rPr>
                <w:rFonts w:ascii="Arial" w:hAnsi="Arial"/>
                <w:sz w:val="19"/>
              </w:rPr>
              <w:t>اللغة الإنجليزية - 6</w:t>
            </w:r>
          </w:p>
        </w:tc>
        <w:tc>
          <w:tcPr>
            <w:tcW w:type="dxa" w:w="1247"/>
            <w:vAlign w:val="top"/>
          </w:tcPr>
          <w:p>
            <w:pPr>
              <w:spacing w:after="40"/>
              <w:jc w:val="center"/>
            </w:pPr>
            <w:r>
              <w:rPr>
                <w:rFonts w:ascii="Arial" w:hAnsi="Arial"/>
                <w:sz w:val="19"/>
              </w:rPr>
              <w:t>2601601</w:t>
            </w:r>
          </w:p>
        </w:tc>
      </w:tr>
      <w:tr>
        <w:tc>
          <w:tcPr>
            <w:tcW w:type="dxa" w:w="6520"/>
            <w:vAlign w:val="top"/>
          </w:tcPr>
          <w:p>
            <w:pPr>
              <w:spacing w:after="40"/>
              <w:jc w:val="right"/>
            </w:pPr>
            <w:r>
              <w:rPr>
                <w:rFonts w:ascii="Arial" w:hAnsi="Arial"/>
                <w:sz w:val="19"/>
              </w:rPr>
              <w:t>الخصائص العامة للنقل البحري، وأنواع السفن وقدراتها، وعمليات الموانئ والمحطات، وإدارة الحاويات وتكديسها، وعمليات مناولة البضائع، وصيغ استئجار السفن مثل bareboat وtime charter وvoyage charter، ورسوم استخدام الموانئ والأحواض، واختيار المسار البحري وتحسينه، واللوجستيات البحرية وعمليات الشحن، والأطر الدولية ذات الصلة بتشغيل السفن.</w:t>
            </w:r>
          </w:p>
        </w:tc>
        <w:tc>
          <w:tcPr>
            <w:tcW w:type="dxa" w:w="2835"/>
            <w:vAlign w:val="top"/>
          </w:tcPr>
          <w:p>
            <w:pPr>
              <w:spacing w:after="40"/>
              <w:jc w:val="right"/>
            </w:pPr>
            <w:r>
              <w:rPr>
                <w:rFonts w:ascii="Arial" w:hAnsi="Arial"/>
                <w:sz w:val="19"/>
              </w:rPr>
              <w:t>النقل البحري وإدارته</w:t>
            </w:r>
          </w:p>
        </w:tc>
        <w:tc>
          <w:tcPr>
            <w:tcW w:type="dxa" w:w="1247"/>
            <w:vAlign w:val="top"/>
          </w:tcPr>
          <w:p>
            <w:pPr>
              <w:spacing w:after="40"/>
              <w:jc w:val="center"/>
            </w:pPr>
            <w:r>
              <w:rPr>
                <w:rFonts w:ascii="Arial" w:hAnsi="Arial"/>
                <w:sz w:val="19"/>
              </w:rPr>
              <w:t>2601602</w:t>
            </w:r>
          </w:p>
        </w:tc>
      </w:tr>
      <w:tr>
        <w:tc>
          <w:tcPr>
            <w:tcW w:type="dxa" w:w="6520"/>
            <w:vAlign w:val="top"/>
          </w:tcPr>
          <w:p>
            <w:pPr>
              <w:spacing w:after="40"/>
              <w:jc w:val="right"/>
            </w:pPr>
            <w:r>
              <w:rPr>
                <w:rFonts w:ascii="Arial" w:hAnsi="Arial"/>
                <w:sz w:val="19"/>
              </w:rPr>
              <w:t>مفهوم سلسلة التوريد وهيكلها، وإدارة علاقات الموردين واختيارهم وتقييمهم، واستراتيجيات الشراء، والتجميع والمخزون المدار بواسطة المورد VMI، وطرق التنبؤ بالطلب، وتحديد مستويات المخزون وتحسينها، ومبادئ JIT، وقرارات التعهيد الخارجي، والمرونة في مواجهة المخاطر واستدامة سلسلة التوريد، وشبكات التوريد متعددة المستويات، والشفافية وإمكانية التتبع.</w:t>
            </w:r>
          </w:p>
        </w:tc>
        <w:tc>
          <w:tcPr>
            <w:tcW w:type="dxa" w:w="2835"/>
            <w:vAlign w:val="top"/>
          </w:tcPr>
          <w:p>
            <w:pPr>
              <w:spacing w:after="40"/>
              <w:jc w:val="right"/>
            </w:pPr>
            <w:r>
              <w:rPr>
                <w:rFonts w:ascii="Arial" w:hAnsi="Arial"/>
                <w:sz w:val="19"/>
              </w:rPr>
              <w:t>إدارة سلسلة التوريد</w:t>
            </w:r>
          </w:p>
        </w:tc>
        <w:tc>
          <w:tcPr>
            <w:tcW w:type="dxa" w:w="1247"/>
            <w:vAlign w:val="top"/>
          </w:tcPr>
          <w:p>
            <w:pPr>
              <w:spacing w:after="40"/>
              <w:jc w:val="center"/>
            </w:pPr>
            <w:r>
              <w:rPr>
                <w:rFonts w:ascii="Arial" w:hAnsi="Arial"/>
                <w:sz w:val="19"/>
              </w:rPr>
              <w:t>2601603</w:t>
            </w:r>
          </w:p>
        </w:tc>
      </w:tr>
      <w:tr>
        <w:tc>
          <w:tcPr>
            <w:tcW w:type="dxa" w:w="6520"/>
            <w:vAlign w:val="top"/>
          </w:tcPr>
          <w:p>
            <w:pPr>
              <w:spacing w:after="40"/>
              <w:jc w:val="right"/>
            </w:pPr>
            <w:r>
              <w:rPr>
                <w:rFonts w:ascii="Arial" w:hAnsi="Arial"/>
                <w:sz w:val="19"/>
              </w:rPr>
              <w:t>أسس تمويل المشروعات الدولية وتمويل الشركات التابعة، وأنواع الاعتمادات المستندية L/C وإجراءاتها، وائتمانات التصدير وتمويله وتأمين الاستثمار EXIM، وتطبيقات التمويل الأصغر، وأسواق السندات والأسهم الدولية، وبنوك التنمية الإقليمية والمؤسسات المالية، وتقييم المشروعات والتحليل المالي، والتكامل الإقليمي والعملات المشتركة.</w:t>
            </w:r>
          </w:p>
        </w:tc>
        <w:tc>
          <w:tcPr>
            <w:tcW w:type="dxa" w:w="2835"/>
            <w:vAlign w:val="top"/>
          </w:tcPr>
          <w:p>
            <w:pPr>
              <w:spacing w:after="40"/>
              <w:jc w:val="right"/>
            </w:pPr>
            <w:r>
              <w:rPr>
                <w:rFonts w:ascii="Arial" w:hAnsi="Arial"/>
                <w:sz w:val="19"/>
              </w:rPr>
              <w:t>التمويل الدولي</w:t>
            </w:r>
          </w:p>
        </w:tc>
        <w:tc>
          <w:tcPr>
            <w:tcW w:type="dxa" w:w="1247"/>
            <w:vAlign w:val="top"/>
          </w:tcPr>
          <w:p>
            <w:pPr>
              <w:spacing w:after="40"/>
              <w:jc w:val="center"/>
            </w:pPr>
            <w:r>
              <w:rPr>
                <w:rFonts w:ascii="Arial" w:hAnsi="Arial"/>
                <w:sz w:val="19"/>
              </w:rPr>
              <w:t>2601604</w:t>
            </w:r>
          </w:p>
        </w:tc>
      </w:tr>
      <w:tr>
        <w:tc>
          <w:tcPr>
            <w:tcW w:type="dxa" w:w="6520"/>
            <w:vAlign w:val="top"/>
          </w:tcPr>
          <w:p>
            <w:pPr>
              <w:spacing w:after="40"/>
              <w:jc w:val="right"/>
            </w:pPr>
            <w:r>
              <w:rPr>
                <w:rFonts w:ascii="Arial" w:hAnsi="Arial"/>
                <w:sz w:val="19"/>
              </w:rPr>
              <w:t>تعريف الاعتماد المستندي ووظائفه، وأنواعه مثل غير القابل للإلغاء والقابل للإلغاء والمؤكد والاحتياطي، وإجراءات فتح الاعتماد وشروطه، وعمليات الدفع للمصدر والمستورد، وفحص المستندات وتقديمها، وحالات عدم المطابقة والاعتراضات، وقواعد ICC UCP 600، وطرق الدفع الأخرى مثل التحويل البرقي والتحصيل المستندي، ومخاطر الاعتماد والاستعداد لها، وأنظمة الاعتماد الإلكتروني eL/C، وأدوار المؤسسات المالية.</w:t>
            </w:r>
          </w:p>
        </w:tc>
        <w:tc>
          <w:tcPr>
            <w:tcW w:type="dxa" w:w="2835"/>
            <w:vAlign w:val="top"/>
          </w:tcPr>
          <w:p>
            <w:pPr>
              <w:spacing w:after="40"/>
              <w:jc w:val="right"/>
            </w:pPr>
            <w:r>
              <w:rPr>
                <w:rFonts w:ascii="Arial" w:hAnsi="Arial"/>
                <w:sz w:val="19"/>
              </w:rPr>
              <w:t>عمليات الاعتماد المستندي في التصدير والاستيراد</w:t>
            </w:r>
          </w:p>
        </w:tc>
        <w:tc>
          <w:tcPr>
            <w:tcW w:type="dxa" w:w="1247"/>
            <w:vAlign w:val="top"/>
          </w:tcPr>
          <w:p>
            <w:pPr>
              <w:spacing w:after="40"/>
              <w:jc w:val="center"/>
            </w:pPr>
            <w:r>
              <w:rPr>
                <w:rFonts w:ascii="Arial" w:hAnsi="Arial"/>
                <w:sz w:val="19"/>
              </w:rPr>
              <w:t>2601605</w:t>
            </w:r>
          </w:p>
        </w:tc>
      </w:tr>
      <w:tr>
        <w:tc>
          <w:tcPr>
            <w:tcW w:type="dxa" w:w="6520"/>
            <w:vAlign w:val="top"/>
          </w:tcPr>
          <w:p>
            <w:pPr>
              <w:spacing w:after="40"/>
              <w:jc w:val="right"/>
            </w:pPr>
            <w:r>
              <w:rPr>
                <w:rFonts w:ascii="Arial" w:hAnsi="Arial"/>
                <w:sz w:val="19"/>
              </w:rPr>
              <w:t>الفروق بين المحاسبة الإدارية والمحاسبة المالية، وتحليل التكلفة-الحجم-الربح، واستخدام المعلومات المحاسبية في اتخاذ القرار، وتحليل القطاعات، وقرارات الطلبات الخاصة وخطوط المنتجات والتصنيع أو الشراء، وقرارات التسعير، وإعداد الموازنات ورقابتها والموازنات المرنة، ومقاييس الأداء وبطاقة الأداء المتوازن، وتسعير التحويل، وتحليل سلسلة القيمة.</w:t>
            </w:r>
          </w:p>
        </w:tc>
        <w:tc>
          <w:tcPr>
            <w:tcW w:type="dxa" w:w="2835"/>
            <w:vAlign w:val="top"/>
          </w:tcPr>
          <w:p>
            <w:pPr>
              <w:spacing w:after="40"/>
              <w:jc w:val="right"/>
            </w:pPr>
            <w:r>
              <w:rPr>
                <w:rFonts w:ascii="Arial" w:hAnsi="Arial"/>
                <w:sz w:val="19"/>
              </w:rPr>
              <w:t>المحاسبة الإدارية</w:t>
            </w:r>
          </w:p>
        </w:tc>
        <w:tc>
          <w:tcPr>
            <w:tcW w:type="dxa" w:w="1247"/>
            <w:vAlign w:val="top"/>
          </w:tcPr>
          <w:p>
            <w:pPr>
              <w:spacing w:after="40"/>
              <w:jc w:val="center"/>
            </w:pPr>
            <w:r>
              <w:rPr>
                <w:rFonts w:ascii="Arial" w:hAnsi="Arial"/>
                <w:sz w:val="19"/>
              </w:rPr>
              <w:t>2601606</w:t>
            </w:r>
          </w:p>
        </w:tc>
      </w:tr>
      <w:tr>
        <w:tc>
          <w:tcPr>
            <w:tcW w:type="dxa" w:w="6520"/>
            <w:vAlign w:val="top"/>
          </w:tcPr>
          <w:p>
            <w:pPr>
              <w:spacing w:after="40"/>
              <w:jc w:val="right"/>
            </w:pPr>
            <w:r>
              <w:rPr>
                <w:rFonts w:ascii="Arial" w:hAnsi="Arial"/>
                <w:sz w:val="19"/>
              </w:rPr>
              <w:t>تعريف الميزانية العمومية وهيكلها وعناصرها التحليلية من الأصول والخصوم وحقوق الملكية، وتقييم المخزون باستخدام FIFO وLIFO والمتوسط المرجح، وتقييم الأصول الثابتة وطرق الإهلاك، والأصول غير المالية ومنها غير الملموسة، والمعالجة المحاسبية لاستثمارات الأوراق المالية، والشركات التابعة والمشروعات المشتركة، والتوحيد في الميزانية، واستخدام الميزانية في التحليل المالي.</w:t>
            </w:r>
          </w:p>
        </w:tc>
        <w:tc>
          <w:tcPr>
            <w:tcW w:type="dxa" w:w="2835"/>
            <w:vAlign w:val="top"/>
          </w:tcPr>
          <w:p>
            <w:pPr>
              <w:spacing w:after="40"/>
              <w:jc w:val="right"/>
            </w:pPr>
            <w:r>
              <w:rPr>
                <w:rFonts w:ascii="Arial" w:hAnsi="Arial"/>
                <w:sz w:val="19"/>
              </w:rPr>
              <w:t>الجرد والميزانية العمومية</w:t>
            </w:r>
          </w:p>
        </w:tc>
        <w:tc>
          <w:tcPr>
            <w:tcW w:type="dxa" w:w="1247"/>
            <w:vAlign w:val="top"/>
          </w:tcPr>
          <w:p>
            <w:pPr>
              <w:spacing w:after="40"/>
              <w:jc w:val="center"/>
            </w:pPr>
            <w:r>
              <w:rPr>
                <w:rFonts w:ascii="Arial" w:hAnsi="Arial"/>
                <w:sz w:val="19"/>
              </w:rPr>
              <w:t>2601607</w:t>
            </w:r>
          </w:p>
        </w:tc>
      </w:tr>
      <w:tr>
        <w:tc>
          <w:tcPr>
            <w:tcW w:type="dxa" w:w="6520"/>
            <w:vAlign w:val="top"/>
          </w:tcPr>
          <w:p>
            <w:pPr>
              <w:spacing w:after="40"/>
              <w:jc w:val="right"/>
            </w:pPr>
            <w:r>
              <w:rPr>
                <w:rFonts w:ascii="Arial" w:hAnsi="Arial"/>
                <w:sz w:val="19"/>
              </w:rPr>
              <w:t>التنمية الشخصية وتصميم المسار المهني، وتقييم نقاط القوة والضعف، وتحليل سوق العمل، واستكشاف البدائل والمسارات المهنية، وإعداد السيرة الذاتية وخطابات التغطية والدافع، واستراتيجيات التقدم للوظائف، والاستعداد للمقابلات وتقنياتها، وبناء الشبكات والروابط المهنية، واستراتيجيات التدريب والحصول على الوظيفة الأولى، وفرص القطاعين العام والخاص والعمل في الخارج.</w:t>
            </w:r>
          </w:p>
        </w:tc>
        <w:tc>
          <w:tcPr>
            <w:tcW w:type="dxa" w:w="2835"/>
            <w:vAlign w:val="top"/>
          </w:tcPr>
          <w:p>
            <w:pPr>
              <w:spacing w:after="40"/>
              <w:jc w:val="right"/>
            </w:pPr>
            <w:r>
              <w:rPr>
                <w:rFonts w:ascii="Arial" w:hAnsi="Arial"/>
                <w:sz w:val="19"/>
              </w:rPr>
              <w:t>التخطيط المهني</w:t>
            </w:r>
          </w:p>
        </w:tc>
        <w:tc>
          <w:tcPr>
            <w:tcW w:type="dxa" w:w="1247"/>
            <w:vAlign w:val="top"/>
          </w:tcPr>
          <w:p>
            <w:pPr>
              <w:spacing w:after="40"/>
              <w:jc w:val="center"/>
            </w:pPr>
            <w:r>
              <w:rPr>
                <w:rFonts w:ascii="Arial" w:hAnsi="Arial"/>
                <w:sz w:val="19"/>
              </w:rPr>
              <w:t>KRPL</w:t>
            </w:r>
          </w:p>
        </w:tc>
      </w:tr>
      <w:tr>
        <w:tc>
          <w:tcPr>
            <w:tcW w:type="dxa" w:w="6520"/>
            <w:vAlign w:val="top"/>
          </w:tcPr>
          <w:p>
            <w:pPr>
              <w:spacing w:after="40"/>
              <w:jc w:val="right"/>
            </w:pPr>
            <w:r>
              <w:rPr>
                <w:rFonts w:ascii="Arial" w:hAnsi="Arial"/>
                <w:sz w:val="19"/>
              </w:rPr>
              <w:t>عروض الأعمال وعروض المستثمرين، وكتابة المراسلات التسويقية والإعلانية ووثائق تعريف المنتجات، ومراسلات العملاء ومعالجة الشكاوى والمشكلات، والمراسلات الرسمية مع شركاء التجارة الدولية، واستخدام الإنجليزية في الندوات وورش العمل القطاعية، والتوثيق الإنجليزي لإدارة العمليات اللوجستية، وبرامج الشهادات المهنية، وقراءة المجلات والمقالات المتخصصة.</w:t>
            </w:r>
          </w:p>
        </w:tc>
        <w:tc>
          <w:tcPr>
            <w:tcW w:type="dxa" w:w="2835"/>
            <w:vAlign w:val="top"/>
          </w:tcPr>
          <w:p>
            <w:pPr>
              <w:spacing w:after="40"/>
              <w:jc w:val="right"/>
            </w:pPr>
            <w:r>
              <w:rPr>
                <w:rFonts w:ascii="Arial" w:hAnsi="Arial"/>
                <w:sz w:val="19"/>
              </w:rPr>
              <w:t>اللغة الإنجليزية المهنية - 4</w:t>
            </w:r>
          </w:p>
        </w:tc>
        <w:tc>
          <w:tcPr>
            <w:tcW w:type="dxa" w:w="1247"/>
            <w:vAlign w:val="top"/>
          </w:tcPr>
          <w:p>
            <w:pPr>
              <w:spacing w:after="40"/>
              <w:jc w:val="center"/>
            </w:pPr>
            <w:r>
              <w:rPr>
                <w:rFonts w:ascii="Arial" w:hAnsi="Arial"/>
                <w:sz w:val="19"/>
              </w:rPr>
              <w:t>2601609</w:t>
            </w:r>
          </w:p>
        </w:tc>
      </w:tr>
    </w:tbl>
    <w:p/>
    <w:p>
      <w:pPr>
        <w:jc w:val="right"/>
      </w:pPr>
      <w:r>
        <w:rPr>
          <w:b/>
          <w:sz w:val="28"/>
        </w:rPr>
        <w:t>الفصل الدراسي 7</w:t>
      </w:r>
    </w:p>
    <w:tbl>
      <w:tblPr>
        <w:tblStyle w:val="TableGrid"/>
        <w:tblW w:type="auto" w:w="0"/>
        <w:jc w:val="center"/>
        <w:tblLook w:firstColumn="1" w:firstRow="1" w:lastColumn="0" w:lastRow="0" w:noHBand="0" w:noVBand="1" w:val="04A0"/>
      </w:tblPr>
      <w:tblGrid>
        <w:gridCol w:w="3513"/>
        <w:gridCol w:w="3513"/>
        <w:gridCol w:w="3513"/>
      </w:tblGrid>
      <w:tr>
        <w:tc>
          <w:tcPr>
            <w:tcW w:type="dxa" w:w="6520"/>
            <w:vAlign w:val="center"/>
          </w:tcPr>
          <w:p>
            <w:pPr>
              <w:jc w:val="center"/>
            </w:pPr>
            <w:r>
              <w:rPr>
                <w:b/>
                <w:sz w:val="21"/>
              </w:rPr>
              <w:t>محتوى المقرر</w:t>
            </w:r>
          </w:p>
        </w:tc>
        <w:tc>
          <w:tcPr>
            <w:tcW w:type="dxa" w:w="2835"/>
            <w:vAlign w:val="center"/>
          </w:tcPr>
          <w:p>
            <w:pPr>
              <w:jc w:val="center"/>
            </w:pPr>
            <w:r>
              <w:rPr>
                <w:b/>
                <w:sz w:val="21"/>
              </w:rPr>
              <w:t>اسم المقرر</w:t>
            </w:r>
          </w:p>
        </w:tc>
        <w:tc>
          <w:tcPr>
            <w:tcW w:type="dxa" w:w="1247"/>
            <w:vAlign w:val="center"/>
          </w:tcPr>
          <w:p>
            <w:pPr>
              <w:jc w:val="center"/>
            </w:pPr>
            <w:r>
              <w:rPr>
                <w:b/>
                <w:sz w:val="21"/>
              </w:rPr>
              <w:t>رمز المقرر</w:t>
            </w:r>
          </w:p>
        </w:tc>
      </w:tr>
      <w:tr>
        <w:tc>
          <w:tcPr>
            <w:tcW w:type="dxa" w:w="6520"/>
            <w:vAlign w:val="top"/>
          </w:tcPr>
          <w:p>
            <w:pPr>
              <w:spacing w:after="40"/>
              <w:jc w:val="right"/>
            </w:pPr>
            <w:r>
              <w:rPr>
                <w:rFonts w:ascii="Arial" w:hAnsi="Arial"/>
                <w:sz w:val="19"/>
              </w:rPr>
              <w:t>إتقان الإنجليزية الأكاديمية: كتابة جميع أقسام المقال البحثي، والنقاش الأكاديمي والاستقصاء النقدي، وتقديم العروض والمشاركة في جلسات المؤتمرات، وعروض الملصقات، والأخلاقيات الأكاديمية والانتحال، والاستعداد للنشر العلمي، وكتابة الرسائل الجامعية بالإنجليزية، والتحرير والمراجعة اللغوية، والمراسلات الأكاديمية مع الأساتذة والمحررين والناشرين، وطلبات تمويل البحوث.</w:t>
            </w:r>
          </w:p>
        </w:tc>
        <w:tc>
          <w:tcPr>
            <w:tcW w:type="dxa" w:w="2835"/>
            <w:vAlign w:val="top"/>
          </w:tcPr>
          <w:p>
            <w:pPr>
              <w:spacing w:after="40"/>
              <w:jc w:val="right"/>
            </w:pPr>
            <w:r>
              <w:rPr>
                <w:rFonts w:ascii="Arial" w:hAnsi="Arial"/>
                <w:sz w:val="19"/>
              </w:rPr>
              <w:t>اللغة الإنجليزية - 7</w:t>
            </w:r>
          </w:p>
        </w:tc>
        <w:tc>
          <w:tcPr>
            <w:tcW w:type="dxa" w:w="1247"/>
            <w:vAlign w:val="top"/>
          </w:tcPr>
          <w:p>
            <w:pPr>
              <w:spacing w:after="40"/>
              <w:jc w:val="center"/>
            </w:pPr>
            <w:r>
              <w:rPr>
                <w:rFonts w:ascii="Arial" w:hAnsi="Arial"/>
                <w:sz w:val="19"/>
              </w:rPr>
              <w:t>2601701</w:t>
            </w:r>
          </w:p>
        </w:tc>
      </w:tr>
      <w:tr>
        <w:tc>
          <w:tcPr>
            <w:tcW w:type="dxa" w:w="6520"/>
            <w:vAlign w:val="top"/>
          </w:tcPr>
          <w:p>
            <w:pPr>
              <w:spacing w:after="40"/>
              <w:jc w:val="right"/>
            </w:pPr>
            <w:r>
              <w:rPr>
                <w:rFonts w:ascii="Arial" w:hAnsi="Arial"/>
                <w:sz w:val="19"/>
              </w:rPr>
              <w:t>بيئة وأسواق التسويق الدولي، وتحليل PEST والفروق الثقافية، واستراتيجيات التسويق العالمي بين التوحيد والتكييف، وبحوث السوق واستراتيجيات الدخول، وتكييف المنتج والتسعير، والمشتريات الدولية وتحديد مصادر التوريد، وتقييم الموردين، ومفاوضات الشراء بالجملة، واتفاقيات الشراء والتفاوض على الشروط التجارية، والتجارة المتقابلة والمقايضة.</w:t>
            </w:r>
          </w:p>
        </w:tc>
        <w:tc>
          <w:tcPr>
            <w:tcW w:type="dxa" w:w="2835"/>
            <w:vAlign w:val="top"/>
          </w:tcPr>
          <w:p>
            <w:pPr>
              <w:spacing w:after="40"/>
              <w:jc w:val="right"/>
            </w:pPr>
            <w:r>
              <w:rPr>
                <w:rFonts w:ascii="Arial" w:hAnsi="Arial"/>
                <w:sz w:val="19"/>
              </w:rPr>
              <w:t>التسويق والمشتريات الدولية</w:t>
            </w:r>
          </w:p>
        </w:tc>
        <w:tc>
          <w:tcPr>
            <w:tcW w:type="dxa" w:w="1247"/>
            <w:vAlign w:val="top"/>
          </w:tcPr>
          <w:p>
            <w:pPr>
              <w:spacing w:after="40"/>
              <w:jc w:val="center"/>
            </w:pPr>
            <w:r>
              <w:rPr>
                <w:rFonts w:ascii="Arial" w:hAnsi="Arial"/>
                <w:sz w:val="19"/>
              </w:rPr>
              <w:t>2601702</w:t>
            </w:r>
          </w:p>
        </w:tc>
      </w:tr>
      <w:tr>
        <w:tc>
          <w:tcPr>
            <w:tcW w:type="dxa" w:w="6520"/>
            <w:vAlign w:val="top"/>
          </w:tcPr>
          <w:p>
            <w:pPr>
              <w:spacing w:after="40"/>
              <w:jc w:val="right"/>
            </w:pPr>
            <w:r>
              <w:rPr>
                <w:rFonts w:ascii="Arial" w:hAnsi="Arial"/>
                <w:sz w:val="19"/>
              </w:rPr>
              <w:t>مدخل إلى تقنيات بحوث العمليات، والبرمجة الخطية وطريقة simplex وتحليل الحساسية، ومشكلتا النقل والتخصيص، ونماذج الشبكات وخوارزميات أقصر مسار، وإدارة المشروعات باستخدام PERT وCPM، ونظرية صفوف الانتظار، ونماذج إدارة المخزون، ونظرية الألعاب، والبرمجة الديناميكية، وتطبيقات Lindo وCPLEX، وتطبيق بحوث العمليات على المشكلات اللوجستية.</w:t>
            </w:r>
          </w:p>
        </w:tc>
        <w:tc>
          <w:tcPr>
            <w:tcW w:type="dxa" w:w="2835"/>
            <w:vAlign w:val="top"/>
          </w:tcPr>
          <w:p>
            <w:pPr>
              <w:spacing w:after="40"/>
              <w:jc w:val="right"/>
            </w:pPr>
            <w:r>
              <w:rPr>
                <w:rFonts w:ascii="Arial" w:hAnsi="Arial"/>
                <w:sz w:val="19"/>
              </w:rPr>
              <w:t>بحوث العمليات</w:t>
            </w:r>
          </w:p>
        </w:tc>
        <w:tc>
          <w:tcPr>
            <w:tcW w:type="dxa" w:w="1247"/>
            <w:vAlign w:val="top"/>
          </w:tcPr>
          <w:p>
            <w:pPr>
              <w:spacing w:after="40"/>
              <w:jc w:val="center"/>
            </w:pPr>
            <w:r>
              <w:rPr>
                <w:rFonts w:ascii="Arial" w:hAnsi="Arial"/>
                <w:sz w:val="19"/>
              </w:rPr>
              <w:t>2601703</w:t>
            </w:r>
          </w:p>
        </w:tc>
      </w:tr>
      <w:tr>
        <w:tc>
          <w:tcPr>
            <w:tcW w:type="dxa" w:w="6520"/>
            <w:vAlign w:val="top"/>
          </w:tcPr>
          <w:p>
            <w:pPr>
              <w:spacing w:after="40"/>
              <w:jc w:val="right"/>
            </w:pPr>
            <w:r>
              <w:rPr>
                <w:rFonts w:ascii="Arial" w:hAnsi="Arial"/>
                <w:sz w:val="19"/>
              </w:rPr>
              <w:t>المسؤولية القانونية في النقل: مسؤولية الناقل والمرسل والمرسل إليه، والحماية من المخاطر والأضرار، وعقد التأمين ونطاق التغطية، وأنواع التأمين على البضائع والمسؤولية والنقل، وقراءة وثيقة التأمين وتفسيرها، وإجراءات الإبلاغ عن الفقد والضرر والمطالبة بالتعويض، ودور خبير المعاينة والتقييم، وتقييم التأمين والأقساط، والتأمين البحري وشروط ICC وغيرها.</w:t>
            </w:r>
          </w:p>
        </w:tc>
        <w:tc>
          <w:tcPr>
            <w:tcW w:type="dxa" w:w="2835"/>
            <w:vAlign w:val="top"/>
          </w:tcPr>
          <w:p>
            <w:pPr>
              <w:spacing w:after="40"/>
              <w:jc w:val="right"/>
            </w:pPr>
            <w:r>
              <w:rPr>
                <w:rFonts w:ascii="Arial" w:hAnsi="Arial"/>
                <w:sz w:val="19"/>
              </w:rPr>
              <w:t>المسؤولية والتأمين في النقل</w:t>
            </w:r>
          </w:p>
        </w:tc>
        <w:tc>
          <w:tcPr>
            <w:tcW w:type="dxa" w:w="1247"/>
            <w:vAlign w:val="top"/>
          </w:tcPr>
          <w:p>
            <w:pPr>
              <w:spacing w:after="40"/>
              <w:jc w:val="center"/>
            </w:pPr>
            <w:r>
              <w:rPr>
                <w:rFonts w:ascii="Arial" w:hAnsi="Arial"/>
                <w:sz w:val="19"/>
              </w:rPr>
              <w:t>2601704</w:t>
            </w:r>
          </w:p>
        </w:tc>
      </w:tr>
      <w:tr>
        <w:tc>
          <w:tcPr>
            <w:tcW w:type="dxa" w:w="6520"/>
            <w:vAlign w:val="top"/>
          </w:tcPr>
          <w:p>
            <w:pPr>
              <w:spacing w:after="40"/>
              <w:jc w:val="right"/>
            </w:pPr>
            <w:r>
              <w:rPr>
                <w:rFonts w:ascii="Arial" w:hAnsi="Arial"/>
                <w:sz w:val="19"/>
              </w:rPr>
              <w:t>هيكل سوق رأس المال وآليات عمله، ووظائف البورصات وأنواعها، وأنواع الأوراق المالية مثل الأسهم والسندات والمشتقات، وإجراءات الطرح العام الأولي IPO، والمشاركون في أسواق الأوراق المالية، ووظائف الوسيط broker والتاجر dealer، وبناء المحافظ الاستثمارية وإدارتها، وعلاقة المخاطر بالعائد، والمؤشرات والاستثمار المؤشر، ونظرية المحفظة ونموذج CAPM، والتحليل الفني والأساسي.</w:t>
            </w:r>
          </w:p>
        </w:tc>
        <w:tc>
          <w:tcPr>
            <w:tcW w:type="dxa" w:w="2835"/>
            <w:vAlign w:val="top"/>
          </w:tcPr>
          <w:p>
            <w:pPr>
              <w:spacing w:after="40"/>
              <w:jc w:val="right"/>
            </w:pPr>
            <w:r>
              <w:rPr>
                <w:rFonts w:ascii="Arial" w:hAnsi="Arial"/>
                <w:sz w:val="19"/>
              </w:rPr>
              <w:t>سوق رأس المال والبورصة والأوراق المالية</w:t>
            </w:r>
          </w:p>
        </w:tc>
        <w:tc>
          <w:tcPr>
            <w:tcW w:type="dxa" w:w="1247"/>
            <w:vAlign w:val="top"/>
          </w:tcPr>
          <w:p>
            <w:pPr>
              <w:spacing w:after="40"/>
              <w:jc w:val="center"/>
            </w:pPr>
            <w:r>
              <w:rPr>
                <w:rFonts w:ascii="Arial" w:hAnsi="Arial"/>
                <w:sz w:val="19"/>
              </w:rPr>
              <w:t>2601705</w:t>
            </w:r>
          </w:p>
        </w:tc>
      </w:tr>
      <w:tr>
        <w:tc>
          <w:tcPr>
            <w:tcW w:type="dxa" w:w="6520"/>
            <w:vAlign w:val="top"/>
          </w:tcPr>
          <w:p>
            <w:pPr>
              <w:spacing w:after="40"/>
              <w:jc w:val="right"/>
            </w:pPr>
            <w:r>
              <w:rPr>
                <w:rFonts w:ascii="Arial" w:hAnsi="Arial"/>
                <w:sz w:val="19"/>
              </w:rPr>
              <w:t>القيمة التي تضيفها نظم المعلومات إلى الأعمال، واستراتيجية تقنية المعلومات وحوكمتها، وتخطيط موارد المؤسسة ERP ووحداته وتطبيقه، ونظم إدارة علاقات العملاء CRM، وبرمجيات إدارة سلسلة التوريد SCM، وتحليلات البيانات وذكاء الأعمال، والحوسبة السحابية وتطبيقات SaaS، والأمن السيبراني وحماية البيانات، وبرمجيات إدارة العمليات، وتطبيقات RPA وتعلم الآلة.</w:t>
            </w:r>
          </w:p>
        </w:tc>
        <w:tc>
          <w:tcPr>
            <w:tcW w:type="dxa" w:w="2835"/>
            <w:vAlign w:val="top"/>
          </w:tcPr>
          <w:p>
            <w:pPr>
              <w:spacing w:after="40"/>
              <w:jc w:val="right"/>
            </w:pPr>
            <w:r>
              <w:rPr>
                <w:rFonts w:ascii="Arial" w:hAnsi="Arial"/>
                <w:sz w:val="19"/>
              </w:rPr>
              <w:t>نظم المعلومات الإدارية</w:t>
            </w:r>
          </w:p>
        </w:tc>
        <w:tc>
          <w:tcPr>
            <w:tcW w:type="dxa" w:w="1247"/>
            <w:vAlign w:val="top"/>
          </w:tcPr>
          <w:p>
            <w:pPr>
              <w:spacing w:after="40"/>
              <w:jc w:val="center"/>
            </w:pPr>
            <w:r>
              <w:rPr>
                <w:rFonts w:ascii="Arial" w:hAnsi="Arial"/>
                <w:sz w:val="19"/>
              </w:rPr>
              <w:t>2601706</w:t>
            </w:r>
          </w:p>
        </w:tc>
      </w:tr>
      <w:tr>
        <w:tc>
          <w:tcPr>
            <w:tcW w:type="dxa" w:w="6520"/>
            <w:vAlign w:val="top"/>
          </w:tcPr>
          <w:p>
            <w:pPr>
              <w:spacing w:after="40"/>
              <w:jc w:val="right"/>
            </w:pPr>
            <w:r>
              <w:rPr>
                <w:rFonts w:ascii="Arial" w:hAnsi="Arial"/>
                <w:sz w:val="19"/>
              </w:rPr>
              <w:t>هيكل الاقتصاد التركي وخصائصه، والتحليل القطاعي للزراعة والصناعة والخدمات، وهيكل التجارة الدولية والشركاء التجاريون الرئيسيون، والتوزيع القطاعي للصادرات والواردات، والاستثمارات الأجنبية، واقتصاد السياحة، والقطاع الحقيقي والمالي، والتضخم وتطبيقات السياسة النقدية، والموازنة والسياسة المالية، ودور المنشآت الصغيرة والمتوسطة، والتنمية الاقتصادية الإقليمية، والتكاملات الاقتصادية مثل WTO والاتحاد الجمركي والاتحاد الأوروبي.</w:t>
            </w:r>
          </w:p>
        </w:tc>
        <w:tc>
          <w:tcPr>
            <w:tcW w:type="dxa" w:w="2835"/>
            <w:vAlign w:val="top"/>
          </w:tcPr>
          <w:p>
            <w:pPr>
              <w:spacing w:after="40"/>
              <w:jc w:val="right"/>
            </w:pPr>
            <w:r>
              <w:rPr>
                <w:rFonts w:ascii="Arial" w:hAnsi="Arial"/>
                <w:sz w:val="19"/>
              </w:rPr>
              <w:t>الاقتصاد التركي</w:t>
            </w:r>
          </w:p>
        </w:tc>
        <w:tc>
          <w:tcPr>
            <w:tcW w:type="dxa" w:w="1247"/>
            <w:vAlign w:val="top"/>
          </w:tcPr>
          <w:p>
            <w:pPr>
              <w:spacing w:after="40"/>
              <w:jc w:val="center"/>
            </w:pPr>
            <w:r>
              <w:rPr>
                <w:rFonts w:ascii="Arial" w:hAnsi="Arial"/>
                <w:sz w:val="19"/>
              </w:rPr>
              <w:t>2601707</w:t>
            </w:r>
          </w:p>
        </w:tc>
      </w:tr>
      <w:tr>
        <w:tc>
          <w:tcPr>
            <w:tcW w:type="dxa" w:w="6520"/>
            <w:vAlign w:val="top"/>
          </w:tcPr>
          <w:p>
            <w:pPr>
              <w:spacing w:after="40"/>
              <w:jc w:val="right"/>
            </w:pPr>
            <w:r>
              <w:rPr>
                <w:rFonts w:ascii="Arial" w:hAnsi="Arial"/>
                <w:sz w:val="19"/>
              </w:rPr>
              <w:t>الإنجليزية التقنية المتقدمة في قطاعي اللوجستيات والتجارة: كتابة تقارير العمليات وتحليل سلسلة التوريد، ومعايير اختيار مقدمي الخدمات اللوجستية 3PL و4PL والتفاوض معهم، والإنجليزية في وساطة الشحن البحري والجوي والاستشارات الجمركية، ومراسلات إدارة المشروعات، وعروض الندوات والمؤتمرات، ومناقشة اتجاهات اللوجستيات، ومدخل إلى مفاوضات التجارة بين الحكومات.</w:t>
            </w:r>
          </w:p>
        </w:tc>
        <w:tc>
          <w:tcPr>
            <w:tcW w:type="dxa" w:w="2835"/>
            <w:vAlign w:val="top"/>
          </w:tcPr>
          <w:p>
            <w:pPr>
              <w:spacing w:after="40"/>
              <w:jc w:val="right"/>
            </w:pPr>
            <w:r>
              <w:rPr>
                <w:rFonts w:ascii="Arial" w:hAnsi="Arial"/>
                <w:sz w:val="19"/>
              </w:rPr>
              <w:t>اللغة الإنجليزية المهنية - 5</w:t>
            </w:r>
          </w:p>
        </w:tc>
        <w:tc>
          <w:tcPr>
            <w:tcW w:type="dxa" w:w="1247"/>
            <w:vAlign w:val="top"/>
          </w:tcPr>
          <w:p>
            <w:pPr>
              <w:spacing w:after="40"/>
              <w:jc w:val="center"/>
            </w:pPr>
            <w:r>
              <w:rPr>
                <w:rFonts w:ascii="Arial" w:hAnsi="Arial"/>
                <w:sz w:val="19"/>
              </w:rPr>
              <w:t>2601708</w:t>
            </w:r>
          </w:p>
        </w:tc>
      </w:tr>
    </w:tbl>
    <w:p/>
    <w:p>
      <w:pPr>
        <w:jc w:val="right"/>
      </w:pPr>
      <w:r>
        <w:rPr>
          <w:b/>
          <w:sz w:val="28"/>
        </w:rPr>
        <w:t>الفصل الدراسي 8</w:t>
      </w:r>
    </w:p>
    <w:tbl>
      <w:tblPr>
        <w:tblStyle w:val="TableGrid"/>
        <w:tblW w:type="auto" w:w="0"/>
        <w:jc w:val="center"/>
        <w:tblLook w:firstColumn="1" w:firstRow="1" w:lastColumn="0" w:lastRow="0" w:noHBand="0" w:noVBand="1" w:val="04A0"/>
      </w:tblPr>
      <w:tblGrid>
        <w:gridCol w:w="3513"/>
        <w:gridCol w:w="3513"/>
        <w:gridCol w:w="3513"/>
      </w:tblGrid>
      <w:tr>
        <w:tc>
          <w:tcPr>
            <w:tcW w:type="dxa" w:w="6520"/>
            <w:vAlign w:val="center"/>
          </w:tcPr>
          <w:p>
            <w:pPr>
              <w:jc w:val="center"/>
            </w:pPr>
            <w:r>
              <w:rPr>
                <w:b/>
                <w:sz w:val="21"/>
              </w:rPr>
              <w:t>محتوى المقرر</w:t>
            </w:r>
          </w:p>
        </w:tc>
        <w:tc>
          <w:tcPr>
            <w:tcW w:type="dxa" w:w="2835"/>
            <w:vAlign w:val="center"/>
          </w:tcPr>
          <w:p>
            <w:pPr>
              <w:jc w:val="center"/>
            </w:pPr>
            <w:r>
              <w:rPr>
                <w:b/>
                <w:sz w:val="21"/>
              </w:rPr>
              <w:t>اسم المقرر</w:t>
            </w:r>
          </w:p>
        </w:tc>
        <w:tc>
          <w:tcPr>
            <w:tcW w:type="dxa" w:w="1247"/>
            <w:vAlign w:val="center"/>
          </w:tcPr>
          <w:p>
            <w:pPr>
              <w:jc w:val="center"/>
            </w:pPr>
            <w:r>
              <w:rPr>
                <w:b/>
                <w:sz w:val="21"/>
              </w:rPr>
              <w:t>رمز المقرر</w:t>
            </w:r>
          </w:p>
        </w:tc>
      </w:tr>
      <w:tr>
        <w:tc>
          <w:tcPr>
            <w:tcW w:type="dxa" w:w="6520"/>
            <w:vAlign w:val="top"/>
          </w:tcPr>
          <w:p>
            <w:pPr>
              <w:spacing w:after="40"/>
              <w:jc w:val="right"/>
            </w:pPr>
            <w:r>
              <w:rPr>
                <w:rFonts w:ascii="Arial" w:hAnsi="Arial"/>
                <w:sz w:val="19"/>
              </w:rPr>
              <w:t>إتقان متقدم للغة الإنجليزية في الاتصال الكتابي والشفهي، وضبط الأسلوب والنبرة، وبناء الحجج المعقدة وعرضها، والتفكير النقدي والكتابة التحليلية، والنزاهة الأكاديمية والانتحال، والتناص والإحالات بين النصوص، والتحول بين أنماط اللغة في الكلام والكتابة، واستخدام الفكاهة والمفارقة في السياقات المناسبة، وكتابة النصوص التعليمية والإرشادية، والكتابة التي تصل بين قطاع الصناعة والوسط الأكاديمي.</w:t>
            </w:r>
          </w:p>
        </w:tc>
        <w:tc>
          <w:tcPr>
            <w:tcW w:type="dxa" w:w="2835"/>
            <w:vAlign w:val="top"/>
          </w:tcPr>
          <w:p>
            <w:pPr>
              <w:spacing w:after="40"/>
              <w:jc w:val="right"/>
            </w:pPr>
            <w:r>
              <w:rPr>
                <w:rFonts w:ascii="Arial" w:hAnsi="Arial"/>
                <w:sz w:val="19"/>
              </w:rPr>
              <w:t>اللغة الإنجليزية - 8</w:t>
            </w:r>
          </w:p>
        </w:tc>
        <w:tc>
          <w:tcPr>
            <w:tcW w:type="dxa" w:w="1247"/>
            <w:vAlign w:val="top"/>
          </w:tcPr>
          <w:p>
            <w:pPr>
              <w:spacing w:after="40"/>
              <w:jc w:val="center"/>
            </w:pPr>
            <w:r>
              <w:rPr>
                <w:rFonts w:ascii="Arial" w:hAnsi="Arial"/>
                <w:sz w:val="19"/>
              </w:rPr>
              <w:t>2601801</w:t>
            </w:r>
          </w:p>
        </w:tc>
      </w:tr>
      <w:tr>
        <w:tc>
          <w:tcPr>
            <w:tcW w:type="dxa" w:w="6520"/>
            <w:vAlign w:val="top"/>
          </w:tcPr>
          <w:p>
            <w:pPr>
              <w:spacing w:after="40"/>
              <w:jc w:val="right"/>
            </w:pPr>
            <w:r>
              <w:rPr>
                <w:rFonts w:ascii="Arial" w:hAnsi="Arial"/>
                <w:sz w:val="19"/>
              </w:rPr>
              <w:t>الخصائص الأساسية للنقل الجوي ومزاياه، وأنواع الطائرات وقدرات الشحن، وعمليات المطارات وإدارة المحطات، ومناولة الشحن من القبول والتحميل والتخزين والتسليم، ووثائق الشحن الجوي AWB، ولوائح IATA، ونقل المواد الثقيلة والخطرة، ومخاطر الشحن الجوي وتأمينه، وشبكات الشحن العالمية والتحالفات الجوية، والتحول الرقمي في شركات الطيران، وتسعير وتسويق الشحن الجوي.</w:t>
            </w:r>
          </w:p>
        </w:tc>
        <w:tc>
          <w:tcPr>
            <w:tcW w:type="dxa" w:w="2835"/>
            <w:vAlign w:val="top"/>
          </w:tcPr>
          <w:p>
            <w:pPr>
              <w:spacing w:after="40"/>
              <w:jc w:val="right"/>
            </w:pPr>
            <w:r>
              <w:rPr>
                <w:rFonts w:ascii="Arial" w:hAnsi="Arial"/>
                <w:sz w:val="19"/>
              </w:rPr>
              <w:t>النقل الجوي وإدارة العمليات</w:t>
            </w:r>
          </w:p>
        </w:tc>
        <w:tc>
          <w:tcPr>
            <w:tcW w:type="dxa" w:w="1247"/>
            <w:vAlign w:val="top"/>
          </w:tcPr>
          <w:p>
            <w:pPr>
              <w:spacing w:after="40"/>
              <w:jc w:val="center"/>
            </w:pPr>
            <w:r>
              <w:rPr>
                <w:rFonts w:ascii="Arial" w:hAnsi="Arial"/>
                <w:sz w:val="19"/>
              </w:rPr>
              <w:t>2601802</w:t>
            </w:r>
          </w:p>
        </w:tc>
      </w:tr>
      <w:tr>
        <w:tc>
          <w:tcPr>
            <w:tcW w:type="dxa" w:w="6520"/>
            <w:vAlign w:val="top"/>
          </w:tcPr>
          <w:p>
            <w:pPr>
              <w:spacing w:after="40"/>
              <w:jc w:val="right"/>
            </w:pPr>
            <w:r>
              <w:rPr>
                <w:rFonts w:ascii="Arial" w:hAnsi="Arial"/>
                <w:sz w:val="19"/>
              </w:rPr>
              <w:t>مفهوم ريادة الأعمال وخصائص رائد الأعمال، وتوليد فكرة المشروع وتقييمها، وبحوث السوق ودراسة الجدوى، وإعداد خطة الأعمال بما يشمل الخطة المالية والتسويقية والتشغيلية، ومصادر التمويل مثل رأس المال والاقتراض والمنح والتمويل الجماعي، والدعم الحكومي للمنشآت الصغيرة والمتوسطة، وإجراءات تأسيس المنشأة، وتحديات إدارة المشروعات الصغيرة، والحاضنات ومناطق التقنية، واستراتيجيات النمو وأسباب الفشل وإدارة المخاطر.</w:t>
            </w:r>
          </w:p>
        </w:tc>
        <w:tc>
          <w:tcPr>
            <w:tcW w:type="dxa" w:w="2835"/>
            <w:vAlign w:val="top"/>
          </w:tcPr>
          <w:p>
            <w:pPr>
              <w:spacing w:after="40"/>
              <w:jc w:val="right"/>
            </w:pPr>
            <w:r>
              <w:rPr>
                <w:rFonts w:ascii="Arial" w:hAnsi="Arial"/>
                <w:sz w:val="19"/>
              </w:rPr>
              <w:t>ريادة الأعمال والمشروعات الصغيرة</w:t>
            </w:r>
          </w:p>
        </w:tc>
        <w:tc>
          <w:tcPr>
            <w:tcW w:type="dxa" w:w="1247"/>
            <w:vAlign w:val="top"/>
          </w:tcPr>
          <w:p>
            <w:pPr>
              <w:spacing w:after="40"/>
              <w:jc w:val="center"/>
            </w:pPr>
            <w:r>
              <w:rPr>
                <w:rFonts w:ascii="Arial" w:hAnsi="Arial"/>
                <w:sz w:val="19"/>
              </w:rPr>
              <w:t>2601803</w:t>
            </w:r>
          </w:p>
        </w:tc>
      </w:tr>
      <w:tr>
        <w:tc>
          <w:tcPr>
            <w:tcW w:type="dxa" w:w="6520"/>
            <w:vAlign w:val="top"/>
          </w:tcPr>
          <w:p>
            <w:pPr>
              <w:spacing w:after="40"/>
              <w:jc w:val="right"/>
            </w:pPr>
            <w:r>
              <w:rPr>
                <w:rFonts w:ascii="Arial" w:hAnsi="Arial"/>
                <w:sz w:val="19"/>
              </w:rPr>
              <w:t>اختيار موضوع رسالة البكالوريوس ومراجعة الأدبيات السابقة، ومنهجيات البحث النوعية والكمية والمختلطة، وتصميم البحث وجمع البيانات وتحليلها وعرض النتائج، وكتابة الرسالة من حيث التقسيم والأسلوب والتوثيق، والأخلاقيات الأكاديمية مثل الانتحال والسرية وحماية الهوية، والعمل مع المشرف وتلقي التغذية الراجعة وإجراء المراجعات، وتقديم الرسالة أمام لجنة المناقشة، واستكمال الكتابة الأكاديمية ونقل نتائج البحث إلى الممارسة.</w:t>
            </w:r>
          </w:p>
        </w:tc>
        <w:tc>
          <w:tcPr>
            <w:tcW w:type="dxa" w:w="2835"/>
            <w:vAlign w:val="top"/>
          </w:tcPr>
          <w:p>
            <w:pPr>
              <w:spacing w:after="40"/>
              <w:jc w:val="right"/>
            </w:pPr>
            <w:r>
              <w:rPr>
                <w:rFonts w:ascii="Arial" w:hAnsi="Arial"/>
                <w:sz w:val="19"/>
              </w:rPr>
              <w:t>مشروع التخرج (رسالة البكالوريوس)</w:t>
            </w:r>
          </w:p>
        </w:tc>
        <w:tc>
          <w:tcPr>
            <w:tcW w:type="dxa" w:w="1247"/>
            <w:vAlign w:val="top"/>
          </w:tcPr>
          <w:p>
            <w:pPr>
              <w:spacing w:after="40"/>
              <w:jc w:val="center"/>
            </w:pPr>
            <w:r>
              <w:rPr>
                <w:rFonts w:ascii="Arial" w:hAnsi="Arial"/>
                <w:sz w:val="19"/>
              </w:rPr>
              <w:t>2601804</w:t>
            </w:r>
          </w:p>
        </w:tc>
      </w:tr>
      <w:tr>
        <w:tc>
          <w:tcPr>
            <w:tcW w:type="dxa" w:w="6520"/>
            <w:vAlign w:val="top"/>
          </w:tcPr>
          <w:p>
            <w:pPr>
              <w:spacing w:after="40"/>
              <w:jc w:val="right"/>
            </w:pPr>
            <w:r>
              <w:rPr>
                <w:rFonts w:ascii="Arial" w:hAnsi="Arial"/>
                <w:sz w:val="19"/>
              </w:rPr>
              <w:t>بيئة وأسواق التجارة الإلكترونية ونماذج الأعمال B2B وB2C وC2C وC2B، والتسويق الإلكتروني والرقمي، والتسويق عبر محركات البحث SEM وتحسين محركات البحث SEO، والتسويق عبر وسائل التواصل، ومنصات التجارة والأسواق الإلكترونية، وأنظمة الدفع الإلكتروني وأمنها، والعملات الرقمية والمشفرة، ولوجستيات التجارة الإلكترونية واللوجستيات العكسية للمرتجعات، وتجربة العميل والتخصيص، وتحليلات البيانات وسلوك المستخدم، والجوانب القانونية والضريبية.</w:t>
            </w:r>
          </w:p>
        </w:tc>
        <w:tc>
          <w:tcPr>
            <w:tcW w:type="dxa" w:w="2835"/>
            <w:vAlign w:val="top"/>
          </w:tcPr>
          <w:p>
            <w:pPr>
              <w:spacing w:after="40"/>
              <w:jc w:val="right"/>
            </w:pPr>
            <w:r>
              <w:rPr>
                <w:rFonts w:ascii="Arial" w:hAnsi="Arial"/>
                <w:sz w:val="19"/>
              </w:rPr>
              <w:t>التجارة الإلكترونية</w:t>
            </w:r>
          </w:p>
        </w:tc>
        <w:tc>
          <w:tcPr>
            <w:tcW w:type="dxa" w:w="1247"/>
            <w:vAlign w:val="top"/>
          </w:tcPr>
          <w:p>
            <w:pPr>
              <w:spacing w:after="40"/>
              <w:jc w:val="center"/>
            </w:pPr>
            <w:r>
              <w:rPr>
                <w:rFonts w:ascii="Arial" w:hAnsi="Arial"/>
                <w:sz w:val="19"/>
              </w:rPr>
              <w:t>2601805</w:t>
            </w:r>
          </w:p>
        </w:tc>
      </w:tr>
      <w:tr>
        <w:tc>
          <w:tcPr>
            <w:tcW w:type="dxa" w:w="6520"/>
            <w:vAlign w:val="top"/>
          </w:tcPr>
          <w:p>
            <w:pPr>
              <w:spacing w:after="40"/>
              <w:jc w:val="right"/>
            </w:pPr>
            <w:r>
              <w:rPr>
                <w:rFonts w:ascii="Arial" w:hAnsi="Arial"/>
                <w:sz w:val="19"/>
              </w:rPr>
              <w:t>إطار سياسة النقل في الاتحاد الأوروبي ولوائح نقل القطارات والحافلات والسفن والطيران، وتنظيم النقل البري، وتوجيهات ساعات العمل HOS، ومعايير الانبعاثات والبيئة، وسياسة النقل المتكامل، والاتحاد الجمركي للاتحاد الأوروبي وإجراءاته، وعمليات الترانزيت مثل TIR وATA، وقواعد المنشأ التفضيلية، والرقابة الجمركية على الحدود الخارجية، ومسار المواءمة مع تشريعات الاتحاد الأوروبي وتطبيقها في الدول المرشحة.</w:t>
            </w:r>
          </w:p>
        </w:tc>
        <w:tc>
          <w:tcPr>
            <w:tcW w:type="dxa" w:w="2835"/>
            <w:vAlign w:val="top"/>
          </w:tcPr>
          <w:p>
            <w:pPr>
              <w:spacing w:after="40"/>
              <w:jc w:val="right"/>
            </w:pPr>
            <w:r>
              <w:rPr>
                <w:rFonts w:ascii="Arial" w:hAnsi="Arial"/>
                <w:sz w:val="19"/>
              </w:rPr>
              <w:t>سياسات النقل في الاتحاد الأوروبي والإجراءات الجمركية والترانزيت في مسار الاتحاد الأوروبي</w:t>
            </w:r>
          </w:p>
        </w:tc>
        <w:tc>
          <w:tcPr>
            <w:tcW w:type="dxa" w:w="1247"/>
            <w:vAlign w:val="top"/>
          </w:tcPr>
          <w:p>
            <w:pPr>
              <w:spacing w:after="40"/>
              <w:jc w:val="center"/>
            </w:pPr>
            <w:r>
              <w:rPr>
                <w:rFonts w:ascii="Arial" w:hAnsi="Arial"/>
                <w:sz w:val="19"/>
              </w:rPr>
              <w:t>2601806</w:t>
            </w:r>
          </w:p>
        </w:tc>
      </w:tr>
      <w:tr>
        <w:tc>
          <w:tcPr>
            <w:tcW w:type="dxa" w:w="6520"/>
            <w:vAlign w:val="top"/>
          </w:tcPr>
          <w:p>
            <w:pPr>
              <w:spacing w:after="40"/>
              <w:jc w:val="right"/>
            </w:pPr>
            <w:r>
              <w:rPr>
                <w:rFonts w:ascii="Arial" w:hAnsi="Arial"/>
                <w:sz w:val="19"/>
              </w:rPr>
              <w:t>تخطيط الموارد البشرية من خلال تحليل الوظائف والوصف الوظيفي وملف الكفاءات، والتنبؤ بالطلب وتحليل العرض، واستراتيجيات الاستقطاب من المصادر الداخلية والخارجية، وإعلانات الوظائف وإدارة الطلبات، وعمليات الاختيار من مقابلات واختبارات والتحقق من المراجع، والتعيين والتهيئة، وإدارة الأداء وتقييمه، وبرامج التدريب والتطوير، وإدارة المسار المهني، ودوران العاملين والإنتاجية، ودافعية العاملين ورضاهم.</w:t>
            </w:r>
          </w:p>
        </w:tc>
        <w:tc>
          <w:tcPr>
            <w:tcW w:type="dxa" w:w="2835"/>
            <w:vAlign w:val="top"/>
          </w:tcPr>
          <w:p>
            <w:pPr>
              <w:spacing w:after="40"/>
              <w:jc w:val="right"/>
            </w:pPr>
            <w:r>
              <w:rPr>
                <w:rFonts w:ascii="Arial" w:hAnsi="Arial"/>
                <w:sz w:val="19"/>
              </w:rPr>
              <w:t>تخطيط الموارد البشرية واستقطاب العاملين</w:t>
            </w:r>
          </w:p>
        </w:tc>
        <w:tc>
          <w:tcPr>
            <w:tcW w:type="dxa" w:w="1247"/>
            <w:vAlign w:val="top"/>
          </w:tcPr>
          <w:p>
            <w:pPr>
              <w:spacing w:after="40"/>
              <w:jc w:val="center"/>
            </w:pPr>
            <w:r>
              <w:rPr>
                <w:rFonts w:ascii="Arial" w:hAnsi="Arial"/>
                <w:sz w:val="19"/>
              </w:rPr>
              <w:t>2601807</w:t>
            </w:r>
          </w:p>
        </w:tc>
      </w:tr>
      <w:tr>
        <w:tc>
          <w:tcPr>
            <w:tcW w:type="dxa" w:w="6520"/>
            <w:vAlign w:val="top"/>
          </w:tcPr>
          <w:p>
            <w:pPr>
              <w:spacing w:after="40"/>
              <w:jc w:val="right"/>
            </w:pPr>
            <w:r>
              <w:rPr>
                <w:rFonts w:ascii="Arial" w:hAnsi="Arial"/>
                <w:sz w:val="19"/>
              </w:rPr>
              <w:t>الإنجليزية في عالم الأعمال: تقنيات متقدمة للغة الاجتماعات وتدوين الملاحظات وصياغة مسودات القرارات، والصقل النهائي للمراسلات الرسمية، والحوار المهني حول القضايا الأخلاقية، وآداب الأعمال الدولية والدبلوماسية، وممارسات الأعمال عبر الثقافات، ومعايير المراسلات الإنجليزية في الشركات متعددة الجنسيات، واستخدام الإنجليزية في فعاليات الشبكات المهنية، ووثائق قانون التجارة الدولية، وعلاقات الإرشاد والتطوير المهني، والتطور الوظيفي في صناعة اللوجستيات.</w:t>
            </w:r>
          </w:p>
        </w:tc>
        <w:tc>
          <w:tcPr>
            <w:tcW w:type="dxa" w:w="2835"/>
            <w:vAlign w:val="top"/>
          </w:tcPr>
          <w:p>
            <w:pPr>
              <w:spacing w:after="40"/>
              <w:jc w:val="right"/>
            </w:pPr>
            <w:r>
              <w:rPr>
                <w:rFonts w:ascii="Arial" w:hAnsi="Arial"/>
                <w:sz w:val="19"/>
              </w:rPr>
              <w:t>اللغة الإنجليزية المهنية - 6</w:t>
            </w:r>
          </w:p>
        </w:tc>
        <w:tc>
          <w:tcPr>
            <w:tcW w:type="dxa" w:w="1247"/>
            <w:vAlign w:val="top"/>
          </w:tcPr>
          <w:p>
            <w:pPr>
              <w:spacing w:after="40"/>
              <w:jc w:val="center"/>
            </w:pPr>
            <w:r>
              <w:rPr>
                <w:rFonts w:ascii="Arial" w:hAnsi="Arial"/>
                <w:sz w:val="19"/>
              </w:rPr>
              <w:t>2601808</w:t>
            </w:r>
          </w:p>
        </w:tc>
      </w:tr>
    </w:tbl>
    <w:p/>
    <w:sectPr w:rsidR="00FC693F" w:rsidRPr="0006063C" w:rsidSect="00034616">
      <w:pgSz w:w="12240" w:h="15840"/>
      <w:pgMar w:top="964" w:right="850" w:bottom="964"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