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4D0" w:rsidRPr="00952C96" w:rsidRDefault="00641AB9" w:rsidP="001D3B81">
      <w:pPr>
        <w:jc w:val="center"/>
        <w:rPr>
          <w:b/>
        </w:rPr>
      </w:pPr>
      <w:r>
        <w:rPr>
          <w:b/>
        </w:rPr>
        <w:t>MERKEZİ PUAN İLE YATAY GEÇİŞT</w:t>
      </w:r>
      <w:r w:rsidR="00952C96" w:rsidRPr="00952C96">
        <w:rPr>
          <w:b/>
        </w:rPr>
        <w:t xml:space="preserve">E DİKKAT EDİLECEK </w:t>
      </w:r>
      <w:r>
        <w:rPr>
          <w:b/>
        </w:rPr>
        <w:t>HUSUSLAR</w:t>
      </w:r>
    </w:p>
    <w:p w:rsidR="00952C96" w:rsidRDefault="00641AB9" w:rsidP="001D3B81">
      <w:pPr>
        <w:pStyle w:val="ListeParagraf"/>
        <w:numPr>
          <w:ilvl w:val="0"/>
          <w:numId w:val="3"/>
        </w:numPr>
        <w:jc w:val="both"/>
      </w:pPr>
      <w:r>
        <w:t>Öğrencinin ilgili yıla ait YKS puanı, başvurduğu programımızın ilgili yılına ait taban puanına eşit veya bu puandan yüksek olmalı</w:t>
      </w:r>
    </w:p>
    <w:p w:rsidR="00952C96" w:rsidRDefault="00641AB9" w:rsidP="001D3B81">
      <w:pPr>
        <w:pStyle w:val="ListeParagraf"/>
        <w:numPr>
          <w:ilvl w:val="0"/>
          <w:numId w:val="3"/>
        </w:numPr>
        <w:jc w:val="both"/>
      </w:pPr>
      <w:r>
        <w:t>Öğrencinin üniversiteyi kazandığı yılda, başvurduğu program o yıl öğrenci almış olmalı</w:t>
      </w:r>
    </w:p>
    <w:p w:rsidR="00952C96" w:rsidRDefault="00641AB9" w:rsidP="001D3B81">
      <w:pPr>
        <w:pStyle w:val="ListeParagraf"/>
        <w:numPr>
          <w:ilvl w:val="0"/>
          <w:numId w:val="3"/>
        </w:numPr>
        <w:jc w:val="both"/>
      </w:pPr>
      <w:r>
        <w:t xml:space="preserve">Güz </w:t>
      </w:r>
      <w:r w:rsidR="009122B5">
        <w:t xml:space="preserve">ve Bahar </w:t>
      </w:r>
      <w:r>
        <w:t>yarıyıl</w:t>
      </w:r>
      <w:r w:rsidR="009122B5">
        <w:t>larında YKS kontenjanının %30’u</w:t>
      </w:r>
      <w:r>
        <w:t xml:space="preserve"> kadar öğrenci alımı yapılabilir. Güz yarılında herhangi bir kontenjan ilanına gerek bulunmamakta olup, ilgili programın her bir sınıfı için %30 kontenjan verilmesi zorunludur. Bahar yarıyılında kontenjan açılması zorunlu değildir. Ancak kontenjan açılması halinde </w:t>
      </w:r>
      <w:r w:rsidR="009122B5">
        <w:t>birimler tarafından YKS kontenjanının %30’u kadar</w:t>
      </w:r>
      <w:r>
        <w:t xml:space="preserve"> </w:t>
      </w:r>
      <w:r w:rsidR="009122B5">
        <w:t>konten</w:t>
      </w:r>
      <w:r w:rsidR="00807DA8">
        <w:t>jan</w:t>
      </w:r>
      <w:r w:rsidR="009122B5">
        <w:t xml:space="preserve"> ayrılabilir ve kontenjanların ilan edilmesi gerekir.</w:t>
      </w:r>
      <w:r>
        <w:t xml:space="preserve"> </w:t>
      </w:r>
    </w:p>
    <w:p w:rsidR="00952C96" w:rsidRDefault="00641AB9" w:rsidP="001D3B81">
      <w:pPr>
        <w:pStyle w:val="ListeParagraf"/>
        <w:numPr>
          <w:ilvl w:val="0"/>
          <w:numId w:val="3"/>
        </w:numPr>
        <w:jc w:val="both"/>
      </w:pPr>
      <w:r>
        <w:t>KKTC’de okuyan öğrenciler güz yarıyılında merkezi puan ile yatay geçiş yapabilirler, ancak bahar yarıyılında yapamazlar.</w:t>
      </w:r>
    </w:p>
    <w:p w:rsidR="00952C96" w:rsidRDefault="00641AB9" w:rsidP="001D3B81">
      <w:pPr>
        <w:pStyle w:val="ListeParagraf"/>
        <w:numPr>
          <w:ilvl w:val="0"/>
          <w:numId w:val="3"/>
        </w:numPr>
        <w:jc w:val="both"/>
      </w:pPr>
      <w:r>
        <w:t>Merkezi puan ile yatay geçiş hakkı bir defaya mahsus olduğundan, bu hakkını kullanmış olan öğrenciler</w:t>
      </w:r>
      <w:r w:rsidR="003435A6">
        <w:t xml:space="preserve"> bir daha</w:t>
      </w:r>
      <w:r>
        <w:t xml:space="preserve"> merkezi puan ile </w:t>
      </w:r>
      <w:r w:rsidR="003435A6">
        <w:t xml:space="preserve">yatay geçiş yapamazlar. </w:t>
      </w:r>
      <w:r w:rsidR="001D3B81">
        <w:t>Ancak ilk yerleştiği üniversiteye/bölüme daha sonraki başvuru dönemlerinde geri dönebilirler.</w:t>
      </w:r>
    </w:p>
    <w:p w:rsidR="00952C96" w:rsidRDefault="001D3B81" w:rsidP="001D3B81">
      <w:pPr>
        <w:jc w:val="center"/>
        <w:rPr>
          <w:b/>
        </w:rPr>
      </w:pPr>
      <w:r>
        <w:rPr>
          <w:b/>
        </w:rPr>
        <w:t>B</w:t>
      </w:r>
      <w:r w:rsidRPr="00952C96">
        <w:rPr>
          <w:b/>
        </w:rPr>
        <w:t xml:space="preserve">AŞARI </w:t>
      </w:r>
      <w:r>
        <w:rPr>
          <w:b/>
        </w:rPr>
        <w:t xml:space="preserve">PUANI </w:t>
      </w:r>
      <w:r w:rsidRPr="00952C96">
        <w:rPr>
          <w:b/>
        </w:rPr>
        <w:t>İLE YATAY GEÇİŞ</w:t>
      </w:r>
      <w:r>
        <w:rPr>
          <w:b/>
        </w:rPr>
        <w:t>TE</w:t>
      </w:r>
      <w:r w:rsidRPr="00952C96">
        <w:rPr>
          <w:b/>
        </w:rPr>
        <w:t xml:space="preserve"> DİKKAT EDİLECEK </w:t>
      </w:r>
      <w:r>
        <w:rPr>
          <w:b/>
        </w:rPr>
        <w:t>HUSUSLAR</w:t>
      </w:r>
    </w:p>
    <w:p w:rsidR="001D3B81" w:rsidRPr="001D3B81" w:rsidRDefault="001D3B81" w:rsidP="001D3B81">
      <w:pPr>
        <w:pStyle w:val="ListeParagraf"/>
        <w:numPr>
          <w:ilvl w:val="0"/>
          <w:numId w:val="2"/>
        </w:numPr>
        <w:jc w:val="both"/>
        <w:rPr>
          <w:color w:val="000000"/>
        </w:rPr>
      </w:pPr>
      <w:r w:rsidRPr="001D3B81">
        <w:rPr>
          <w:color w:val="000000"/>
        </w:rPr>
        <w:t>Açık ve uzaktan öğretimden örgün öğretim programlarına geçiş yapılabilmesi için, öğrencinin öğrenim görmekte olduğu programdaki genel not ortalamasının 100 üzerinde</w:t>
      </w:r>
      <w:r w:rsidR="009122B5">
        <w:rPr>
          <w:color w:val="000000"/>
        </w:rPr>
        <w:t>n 9</w:t>
      </w:r>
      <w:r w:rsidRPr="001D3B81">
        <w:rPr>
          <w:color w:val="000000"/>
        </w:rPr>
        <w:t>0 veya üzeri olması veya kayıt olduğu yıldaki merkezi  yerleştirme puanının, geçmek istediği üniversitenin diploma programının o yılki taban puanına eşit veya  yüksek olması gerekir.</w:t>
      </w:r>
    </w:p>
    <w:p w:rsidR="00304DA2" w:rsidRDefault="001D3B81" w:rsidP="005A6C32">
      <w:pPr>
        <w:pStyle w:val="ListeParagraf"/>
        <w:numPr>
          <w:ilvl w:val="0"/>
          <w:numId w:val="2"/>
        </w:numPr>
        <w:jc w:val="both"/>
      </w:pPr>
      <w:r>
        <w:t xml:space="preserve">Öğrencinin </w:t>
      </w:r>
      <w:r w:rsidR="00641AB9" w:rsidRPr="00DF7576">
        <w:t xml:space="preserve">başvurduğu sınıftan önceki sınıflardaki bütün derslerini almış ve başarılı olmuş </w:t>
      </w:r>
      <w:r>
        <w:t>olması ve</w:t>
      </w:r>
      <w:r w:rsidR="00641AB9" w:rsidRPr="00DF7576">
        <w:t xml:space="preserve"> ortalaması</w:t>
      </w:r>
      <w:r>
        <w:t>nın 4 üzerinden en az 2.5 olması gerekir.</w:t>
      </w:r>
      <w:r w:rsidR="005A6C32">
        <w:t xml:space="preserve"> (örne</w:t>
      </w:r>
      <w:r w:rsidR="00641AB9" w:rsidRPr="00DF7576">
        <w:t>ğin</w:t>
      </w:r>
      <w:r w:rsidR="005A6C32">
        <w:t xml:space="preserve"> </w:t>
      </w:r>
      <w:r w:rsidR="00641AB9" w:rsidRPr="00DF7576">
        <w:t xml:space="preserve">2. sınıfa başvuran </w:t>
      </w:r>
      <w:r w:rsidR="005A6C32">
        <w:t>öğrencinin en az 60 AKTS</w:t>
      </w:r>
      <w:r w:rsidR="00641AB9" w:rsidRPr="00DF7576">
        <w:t xml:space="preserve"> ders almış v</w:t>
      </w:r>
      <w:r w:rsidR="005A6C32">
        <w:t xml:space="preserve">e ortalamasının 2.5 üzeri olması gerekir. </w:t>
      </w:r>
      <w:r w:rsidR="005A6C32" w:rsidRPr="00DF7576">
        <w:t xml:space="preserve">3. sınıfa </w:t>
      </w:r>
      <w:r w:rsidR="005A6C32">
        <w:t>başvuran öğrencinin en az 120 AKTS</w:t>
      </w:r>
      <w:r w:rsidR="005A6C32" w:rsidRPr="00DF7576">
        <w:t xml:space="preserve"> ders almış v</w:t>
      </w:r>
      <w:r w:rsidR="005A6C32">
        <w:t>e ortalamasının 2.5 üzeri olması gerekir.)</w:t>
      </w:r>
    </w:p>
    <w:p w:rsidR="00304DA2" w:rsidRPr="00807DA8" w:rsidRDefault="00937980" w:rsidP="001D3B81">
      <w:pPr>
        <w:pStyle w:val="ListeParagraf"/>
        <w:numPr>
          <w:ilvl w:val="0"/>
          <w:numId w:val="2"/>
        </w:numPr>
        <w:jc w:val="both"/>
        <w:rPr>
          <w:color w:val="FF0000"/>
        </w:rPr>
      </w:pPr>
      <w:r w:rsidRPr="00807DA8">
        <w:rPr>
          <w:color w:val="FF0000"/>
        </w:rPr>
        <w:t>KKTC</w:t>
      </w:r>
      <w:r w:rsidR="005A6C32" w:rsidRPr="00807DA8">
        <w:rPr>
          <w:color w:val="FF0000"/>
        </w:rPr>
        <w:t>’de okuyan öğrenciler</w:t>
      </w:r>
      <w:r w:rsidR="00641AB9" w:rsidRPr="00807DA8">
        <w:rPr>
          <w:color w:val="FF0000"/>
        </w:rPr>
        <w:t xml:space="preserve"> yurt içi</w:t>
      </w:r>
      <w:r w:rsidR="005A6C32" w:rsidRPr="00807DA8">
        <w:rPr>
          <w:color w:val="FF0000"/>
        </w:rPr>
        <w:t xml:space="preserve"> kontenjanına başvuru yapamaz. Bu durumdaki öğrencilerin başvuruları yurt dışı kontenjanı üzerinden değerlendirilmelidir.</w:t>
      </w:r>
    </w:p>
    <w:p w:rsidR="00171560" w:rsidRDefault="005A6C32" w:rsidP="005A6C32">
      <w:pPr>
        <w:pStyle w:val="ListeParagraf"/>
        <w:numPr>
          <w:ilvl w:val="0"/>
          <w:numId w:val="2"/>
        </w:numPr>
        <w:jc w:val="both"/>
      </w:pPr>
      <w:r>
        <w:t>Y</w:t>
      </w:r>
      <w:r w:rsidR="00641AB9" w:rsidRPr="00DF7576">
        <w:t>urt</w:t>
      </w:r>
      <w:r>
        <w:t xml:space="preserve"> </w:t>
      </w:r>
      <w:r w:rsidR="00641AB9" w:rsidRPr="00DF7576">
        <w:t>dışı başvurularında başarı sıralaması aranan prog</w:t>
      </w:r>
      <w:r>
        <w:t>ramlara başvuran öğrencinin YKS puanı, istenil</w:t>
      </w:r>
      <w:r w:rsidR="00641AB9" w:rsidRPr="00DF7576">
        <w:t xml:space="preserve">en başarı sıralamasında olmalı </w:t>
      </w:r>
      <w:r>
        <w:t xml:space="preserve">veya okuduğu üniversite </w:t>
      </w:r>
      <w:r w:rsidR="00641AB9" w:rsidRPr="00DF7576">
        <w:t>sıralama kuruluşların</w:t>
      </w:r>
      <w:r>
        <w:t>ın</w:t>
      </w:r>
      <w:r w:rsidR="00B31EF2">
        <w:t xml:space="preserve"> sıralamasında </w:t>
      </w:r>
      <w:r w:rsidR="00171560" w:rsidRPr="00171560">
        <w:t xml:space="preserve">Öğrencinin yükseköğrenimine başladığı yıl, kayıtlı olduğu üniversitenin </w:t>
      </w:r>
      <w:proofErr w:type="gramStart"/>
      <w:r w:rsidR="00171560" w:rsidRPr="00171560">
        <w:t>Yükseköğretim  Kurulu</w:t>
      </w:r>
      <w:proofErr w:type="gramEnd"/>
      <w:r w:rsidR="00171560" w:rsidRPr="00171560">
        <w:t xml:space="preserve">  tarafından  esas  alınan  sıralama  kuruluşlarının  (Times </w:t>
      </w:r>
      <w:proofErr w:type="spellStart"/>
      <w:r w:rsidR="00171560" w:rsidRPr="00171560">
        <w:t>Higher</w:t>
      </w:r>
      <w:proofErr w:type="spellEnd"/>
      <w:r w:rsidR="00171560" w:rsidRPr="00171560">
        <w:t xml:space="preserve"> </w:t>
      </w:r>
      <w:proofErr w:type="spellStart"/>
      <w:r w:rsidR="00171560" w:rsidRPr="00171560">
        <w:t>Education</w:t>
      </w:r>
      <w:proofErr w:type="spellEnd"/>
      <w:r w:rsidR="00171560" w:rsidRPr="00171560">
        <w:t xml:space="preserve"> (THE),  QS World </w:t>
      </w:r>
      <w:proofErr w:type="spellStart"/>
      <w:r w:rsidR="00171560" w:rsidRPr="00171560">
        <w:t>University</w:t>
      </w:r>
      <w:proofErr w:type="spellEnd"/>
      <w:r w:rsidR="00171560" w:rsidRPr="00171560">
        <w:t xml:space="preserve"> </w:t>
      </w:r>
      <w:proofErr w:type="spellStart"/>
      <w:r w:rsidR="00171560" w:rsidRPr="00171560">
        <w:t>Rankings</w:t>
      </w:r>
      <w:proofErr w:type="spellEnd"/>
      <w:r w:rsidR="00171560" w:rsidRPr="00171560">
        <w:t xml:space="preserve">, </w:t>
      </w:r>
      <w:proofErr w:type="spellStart"/>
      <w:r w:rsidR="00171560" w:rsidRPr="00171560">
        <w:t>Academic</w:t>
      </w:r>
      <w:proofErr w:type="spellEnd"/>
      <w:r w:rsidR="00171560" w:rsidRPr="00171560">
        <w:t xml:space="preserve"> </w:t>
      </w:r>
      <w:proofErr w:type="spellStart"/>
      <w:r w:rsidR="00171560" w:rsidRPr="00171560">
        <w:t>Ranking</w:t>
      </w:r>
      <w:proofErr w:type="spellEnd"/>
      <w:r w:rsidR="00171560" w:rsidRPr="00171560">
        <w:t xml:space="preserve"> of World </w:t>
      </w:r>
      <w:proofErr w:type="spellStart"/>
      <w:r w:rsidR="00171560" w:rsidRPr="00171560">
        <w:t>Universities</w:t>
      </w:r>
      <w:proofErr w:type="spellEnd"/>
      <w:r w:rsidR="00171560" w:rsidRPr="00171560">
        <w:t xml:space="preserve"> (ARWU) CWTS </w:t>
      </w:r>
      <w:proofErr w:type="spellStart"/>
      <w:r w:rsidR="00171560" w:rsidRPr="00171560">
        <w:t>Leiden</w:t>
      </w:r>
      <w:proofErr w:type="spellEnd"/>
      <w:r w:rsidR="00171560" w:rsidRPr="00171560">
        <w:t xml:space="preserve"> </w:t>
      </w:r>
      <w:proofErr w:type="spellStart"/>
      <w:r w:rsidR="00171560" w:rsidRPr="00171560">
        <w:t>Ranking</w:t>
      </w:r>
      <w:proofErr w:type="spellEnd"/>
      <w:r w:rsidR="00171560" w:rsidRPr="00171560">
        <w:t>)  en az üçünde ilk dört yüzlük dilim içerisinde yer alması gerekir.</w:t>
      </w:r>
    </w:p>
    <w:p w:rsidR="00171560" w:rsidRDefault="00171560" w:rsidP="00171560">
      <w:pPr>
        <w:pStyle w:val="ListeParagraf"/>
        <w:shd w:val="clear" w:color="auto" w:fill="FFFFFF"/>
        <w:spacing w:after="150" w:line="240" w:lineRule="auto"/>
        <w:jc w:val="both"/>
      </w:pPr>
      <w:r w:rsidRPr="00171560">
        <w:t xml:space="preserve"> İlk dört yüzlük dilim dışında kalan bir üniversitede kayıtlı olunması halinde;  </w:t>
      </w:r>
    </w:p>
    <w:p w:rsidR="00304DA2" w:rsidRDefault="00171560" w:rsidP="00171560">
      <w:pPr>
        <w:pStyle w:val="ListeParagraf"/>
        <w:jc w:val="both"/>
      </w:pPr>
      <w:r w:rsidRPr="00171560">
        <w:t xml:space="preserve">Orta öğretimini Türkiye’de tamamlayanların, her halükârda merkezi yerleştirme </w:t>
      </w:r>
      <w:r w:rsidR="00C00607" w:rsidRPr="00171560">
        <w:t>sınavına girmiş</w:t>
      </w:r>
      <w:r w:rsidRPr="00171560">
        <w:t xml:space="preserve"> ve kayıt yılı itibarıyla başarı sıralaması şartı aranan programın ilgili puan türünde başarı </w:t>
      </w:r>
      <w:r w:rsidR="00C00607" w:rsidRPr="00171560">
        <w:t>sıralaması şartını</w:t>
      </w:r>
      <w:r w:rsidRPr="00171560">
        <w:t xml:space="preserve"> sağlamış olması,  </w:t>
      </w:r>
    </w:p>
    <w:p w:rsidR="00807DA8" w:rsidRDefault="00807DA8" w:rsidP="0005424C">
      <w:pPr>
        <w:pStyle w:val="ListeParagraf"/>
        <w:numPr>
          <w:ilvl w:val="0"/>
          <w:numId w:val="2"/>
        </w:numPr>
        <w:shd w:val="clear" w:color="auto" w:fill="FFFFFF"/>
        <w:spacing w:before="300" w:after="150" w:line="240" w:lineRule="auto"/>
        <w:jc w:val="both"/>
        <w:outlineLvl w:val="1"/>
      </w:pPr>
      <w:r w:rsidRPr="00807DA8">
        <w:t>Yükseköğretim Kurulundan “denklik” ve “yatay geçişlerde” yeni düzenleme</w:t>
      </w:r>
      <w:r>
        <w:t xml:space="preserve"> </w:t>
      </w:r>
      <w:proofErr w:type="gramStart"/>
      <w:r>
        <w:t>ile,</w:t>
      </w:r>
      <w:proofErr w:type="gramEnd"/>
    </w:p>
    <w:p w:rsidR="00807DA8" w:rsidRPr="00807DA8" w:rsidRDefault="00807DA8" w:rsidP="00807DA8">
      <w:pPr>
        <w:pStyle w:val="ListeParagraf"/>
        <w:numPr>
          <w:ilvl w:val="0"/>
          <w:numId w:val="5"/>
        </w:numPr>
        <w:shd w:val="clear" w:color="auto" w:fill="FFFFFF"/>
        <w:spacing w:before="300" w:after="150" w:line="240" w:lineRule="auto"/>
        <w:jc w:val="both"/>
        <w:outlineLvl w:val="1"/>
      </w:pPr>
      <w:r w:rsidRPr="00807DA8">
        <w:t xml:space="preserve"> Yurtdışında devam zorunluluğu olmayan programda okuyanlar Türkiye’de örgün programa yatay geçiş yapamayacak</w:t>
      </w:r>
      <w:r>
        <w:t>,</w:t>
      </w:r>
    </w:p>
    <w:p w:rsidR="00807DA8" w:rsidRPr="00807DA8" w:rsidRDefault="00807DA8" w:rsidP="00807DA8">
      <w:pPr>
        <w:pStyle w:val="ListeParagraf"/>
        <w:numPr>
          <w:ilvl w:val="0"/>
          <w:numId w:val="5"/>
        </w:numPr>
        <w:shd w:val="clear" w:color="auto" w:fill="FFFFFF"/>
        <w:spacing w:after="150" w:line="240" w:lineRule="auto"/>
        <w:jc w:val="both"/>
      </w:pPr>
      <w:r w:rsidRPr="00807DA8">
        <w:t>Yatay geçişlerde yurtdışından başvuranların; eğitim süresince ilgili ülkede bulunduğunu pasaport, e-Devlet gibi resmi belgeyle kanıtlaması gerekecek</w:t>
      </w:r>
      <w:r>
        <w:t>,</w:t>
      </w:r>
    </w:p>
    <w:p w:rsidR="00367D46" w:rsidRDefault="00171560" w:rsidP="00171560">
      <w:pPr>
        <w:pStyle w:val="ListeParagraf"/>
        <w:shd w:val="clear" w:color="auto" w:fill="FFFFFF"/>
        <w:spacing w:after="150" w:line="240" w:lineRule="auto"/>
        <w:jc w:val="both"/>
      </w:pPr>
      <w:r w:rsidRPr="00171560">
        <w:t xml:space="preserve"> </w:t>
      </w:r>
    </w:p>
    <w:p w:rsidR="00DF7576" w:rsidRDefault="00B31EF2" w:rsidP="00304DA2">
      <w:r>
        <w:t xml:space="preserve">Yatay Geçiş Yönetmeliği için </w:t>
      </w:r>
      <w:hyperlink r:id="rId5" w:history="1">
        <w:r w:rsidRPr="00B31EF2">
          <w:rPr>
            <w:rStyle w:val="Kpr"/>
          </w:rPr>
          <w:t>tıklayınız.</w:t>
        </w:r>
      </w:hyperlink>
    </w:p>
    <w:p w:rsidR="00DF7576" w:rsidRDefault="00B31EF2" w:rsidP="00304DA2">
      <w:pPr>
        <w:rPr>
          <w:rStyle w:val="Kpr"/>
        </w:rPr>
      </w:pPr>
      <w:r>
        <w:t>Y</w:t>
      </w:r>
      <w:r w:rsidR="00DF7576">
        <w:t xml:space="preserve">atay geçiş yönergemiz için </w:t>
      </w:r>
      <w:hyperlink r:id="rId6" w:history="1">
        <w:r w:rsidR="00DF7576" w:rsidRPr="000279D9">
          <w:rPr>
            <w:rStyle w:val="Kpr"/>
          </w:rPr>
          <w:t>tıklayı</w:t>
        </w:r>
        <w:r w:rsidR="00DF7576" w:rsidRPr="000279D9">
          <w:rPr>
            <w:rStyle w:val="Kpr"/>
          </w:rPr>
          <w:t>n</w:t>
        </w:r>
        <w:r w:rsidR="00DF7576" w:rsidRPr="000279D9">
          <w:rPr>
            <w:rStyle w:val="Kpr"/>
          </w:rPr>
          <w:t>ız</w:t>
        </w:r>
      </w:hyperlink>
    </w:p>
    <w:p w:rsidR="00304DA2" w:rsidRPr="00952C96" w:rsidRDefault="0041345F">
      <w:pPr>
        <w:rPr>
          <w:b/>
        </w:rPr>
      </w:pPr>
      <w:r>
        <w:rPr>
          <w:rStyle w:val="Kpr"/>
          <w:color w:val="auto"/>
          <w:u w:val="none"/>
        </w:rPr>
        <w:t>YÖK’ün Ek Madde-1 Uygulama E</w:t>
      </w:r>
      <w:r w:rsidR="00B31EF2" w:rsidRPr="00B31EF2">
        <w:rPr>
          <w:rStyle w:val="Kpr"/>
          <w:color w:val="auto"/>
          <w:u w:val="none"/>
        </w:rPr>
        <w:t xml:space="preserve">sasları için </w:t>
      </w:r>
      <w:hyperlink r:id="rId7" w:history="1">
        <w:r w:rsidR="00B31EF2" w:rsidRPr="00BB1125">
          <w:rPr>
            <w:rStyle w:val="Kpr"/>
          </w:rPr>
          <w:t>tıklayınız.</w:t>
        </w:r>
      </w:hyperlink>
      <w:bookmarkStart w:id="0" w:name="_GoBack"/>
      <w:bookmarkEnd w:id="0"/>
    </w:p>
    <w:sectPr w:rsidR="00304DA2" w:rsidRPr="00952C96" w:rsidSect="00171560">
      <w:pgSz w:w="11906" w:h="16838"/>
      <w:pgMar w:top="1417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E49"/>
    <w:multiLevelType w:val="hybridMultilevel"/>
    <w:tmpl w:val="C4822E60"/>
    <w:lvl w:ilvl="0" w:tplc="5142AC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A5169D"/>
    <w:multiLevelType w:val="hybridMultilevel"/>
    <w:tmpl w:val="B408469E"/>
    <w:lvl w:ilvl="0" w:tplc="9EA6C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179BB"/>
    <w:multiLevelType w:val="hybridMultilevel"/>
    <w:tmpl w:val="87BCC92C"/>
    <w:lvl w:ilvl="0" w:tplc="9EA6CCF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57D8B"/>
    <w:multiLevelType w:val="hybridMultilevel"/>
    <w:tmpl w:val="0B669CC8"/>
    <w:lvl w:ilvl="0" w:tplc="9EA6CCF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F028D"/>
    <w:multiLevelType w:val="hybridMultilevel"/>
    <w:tmpl w:val="977AC4F0"/>
    <w:lvl w:ilvl="0" w:tplc="9EA6CCF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96"/>
    <w:rsid w:val="000279D9"/>
    <w:rsid w:val="00171560"/>
    <w:rsid w:val="001D3B81"/>
    <w:rsid w:val="002C11FD"/>
    <w:rsid w:val="00304DA2"/>
    <w:rsid w:val="003435A6"/>
    <w:rsid w:val="00367D46"/>
    <w:rsid w:val="0041345F"/>
    <w:rsid w:val="005301CE"/>
    <w:rsid w:val="005A6C32"/>
    <w:rsid w:val="00641AB9"/>
    <w:rsid w:val="007E0A97"/>
    <w:rsid w:val="00807DA8"/>
    <w:rsid w:val="009122B5"/>
    <w:rsid w:val="00937980"/>
    <w:rsid w:val="00952C96"/>
    <w:rsid w:val="00A24A0B"/>
    <w:rsid w:val="00B31EF2"/>
    <w:rsid w:val="00BB1125"/>
    <w:rsid w:val="00C00607"/>
    <w:rsid w:val="00D7755C"/>
    <w:rsid w:val="00DD34D0"/>
    <w:rsid w:val="00DF3C36"/>
    <w:rsid w:val="00D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6372C-0A61-4EDF-8896-A7226D17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07D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F7576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D3B81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2C11FD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807D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07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807DA8"/>
    <w:rPr>
      <w:b/>
      <w:bCs/>
    </w:rPr>
  </w:style>
  <w:style w:type="character" w:customStyle="1" w:styleId="pdf24116">
    <w:name w:val="pdf24_116"/>
    <w:basedOn w:val="VarsaylanParagrafYazTipi"/>
    <w:rsid w:val="00807DA8"/>
  </w:style>
  <w:style w:type="character" w:customStyle="1" w:styleId="pdf2413">
    <w:name w:val="pdf24_13"/>
    <w:basedOn w:val="VarsaylanParagrafYazTipi"/>
    <w:rsid w:val="00807DA8"/>
  </w:style>
  <w:style w:type="character" w:customStyle="1" w:styleId="pdf2419">
    <w:name w:val="pdf24_19"/>
    <w:basedOn w:val="VarsaylanParagrafYazTipi"/>
    <w:rsid w:val="00807DA8"/>
  </w:style>
  <w:style w:type="character" w:customStyle="1" w:styleId="pdf2417">
    <w:name w:val="pdf24_17"/>
    <w:basedOn w:val="VarsaylanParagrafYazTipi"/>
    <w:rsid w:val="0080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gitim.yok.gov.tr/documentFiles/1779278338729.guz-ve-bahar-donemi-ek-madde-1-uygulama-ilkeler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arran.edu.tr/Dosyalar/Birimler/577/%C3%96%C4%9Frenci%20i%C5%9Fleri/Y%C3%96NERGE%20Y%C3%96NETMEL%C4%B0K/yatay_gecis_yonergesi_18012024.html" TargetMode="External"/><Relationship Id="rId5" Type="http://schemas.openxmlformats.org/officeDocument/2006/relationships/hyperlink" Target="https://www.mevzuat.gov.tr/mevzuat?MevzuatNo=13948&amp;MevzuatTur=7&amp;MevzuatTertip=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mborak</dc:creator>
  <cp:keywords/>
  <dc:description/>
  <cp:lastModifiedBy>Admin</cp:lastModifiedBy>
  <cp:revision>5</cp:revision>
  <dcterms:created xsi:type="dcterms:W3CDTF">2026-07-13T07:14:00Z</dcterms:created>
  <dcterms:modified xsi:type="dcterms:W3CDTF">2026-07-13T07:27:00Z</dcterms:modified>
</cp:coreProperties>
</file>