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jc w:val="center"/>
      </w:pPr>
      <w:r>
        <w:rPr>
          <w:b/>
          <w:color w:val="143B57"/>
          <w:sz w:val="40"/>
        </w:rPr>
        <w:t>HARRAN ÜNİVERSİTESİ</w:t>
      </w:r>
    </w:p>
    <w:p>
      <w:pPr>
        <w:jc w:val="center"/>
      </w:pPr>
      <w:r>
        <w:rPr>
          <w:sz w:val="32"/>
        </w:rPr>
        <w:t>BİLİM VE TEKNOLOJİ</w:t>
      </w:r>
    </w:p>
    <w:p>
      <w:pPr>
        <w:jc w:val="center"/>
      </w:pPr>
      <w:r>
        <w:rPr>
          <w:sz w:val="32"/>
        </w:rPr>
        <w:t>UYGULAMA VE ARAŞTIRMA MERKEZİ</w:t>
      </w:r>
    </w:p>
    <w:p/>
    <w:p/>
    <w:p/>
    <w:p>
      <w:pPr>
        <w:jc w:val="center"/>
      </w:pPr>
      <w:r>
        <w:rPr>
          <w:b/>
          <w:color w:val="143B57"/>
          <w:sz w:val="48"/>
        </w:rPr>
        <w:t>HÜBTAM</w:t>
      </w:r>
    </w:p>
    <w:p>
      <w:pPr>
        <w:jc w:val="center"/>
      </w:pPr>
      <w:r>
        <w:rPr>
          <w:b/>
          <w:color w:val="143B57"/>
          <w:sz w:val="48"/>
        </w:rPr>
        <w:t>STRATEJİK PLAN</w:t>
      </w:r>
    </w:p>
    <w:p>
      <w:pPr>
        <w:jc w:val="center"/>
      </w:pPr>
      <w:r>
        <w:rPr>
          <w:b/>
          <w:color w:val="143B57"/>
          <w:sz w:val="48"/>
        </w:rPr>
        <w:t>2024 – 2028</w:t>
      </w:r>
    </w:p>
    <w:p/>
    <w:p/>
    <w:p/>
    <w:p>
      <w:pPr>
        <w:jc w:val="center"/>
      </w:pPr>
      <w:r>
        <w:t>Araştırma • İş Birliği • Yenilikçilik • Kalite</w:t>
      </w:r>
    </w:p>
    <w:p>
      <w:pPr>
        <w:jc w:val="center"/>
      </w:pPr>
      <w:r>
        <w:t>ŞANLIURFA</w:t>
      </w:r>
    </w:p>
    <w:p>
      <w:r>
        <w:br w:type="page"/>
      </w:r>
    </w:p>
    <w:p>
      <w:pPr>
        <w:pStyle w:val="Heading1"/>
      </w:pPr>
      <w:r>
        <w:t>STRATEJİK PLAN / 2024–2028</w:t>
      </w:r>
    </w:p>
    <w:p>
      <w:pPr>
        <w:pStyle w:val="Heading2"/>
      </w:pPr>
      <w:r>
        <w:t>İçindekiler</w:t>
      </w:r>
    </w:p>
    <w:p>
      <w:r>
        <w:t>01     Planın Çerçevesi</w:t>
      </w:r>
    </w:p>
    <w:p>
      <w:r>
        <w:t>02     Stratejik Amaçlar ve Hedefler</w:t>
      </w:r>
    </w:p>
    <w:p>
      <w:r>
        <w:t>03     Stratejik Öncelikler</w:t>
      </w:r>
    </w:p>
    <w:p>
      <w:r>
        <w:t>04     İş Birlikleri Stratejisi</w:t>
      </w:r>
    </w:p>
    <w:p>
      <w:r>
        <w:t>05     Yenilikçilik Stratejisi</w:t>
      </w:r>
    </w:p>
    <w:p>
      <w:r>
        <w:t>06     Kalite Stratejisi</w:t>
      </w:r>
    </w:p>
    <w:p>
      <w:r>
        <w:t>Hazırlanan bu kitapçık, paylaşılan HÜBTAM stratejik hedef ve önceliklerinin kurumsal sunum düzenine aktarılmış hâlidir. Üniversitenin 2024–2028 stratejik plan yaklaşımı görsel ve yapısal referans alınmıştır.</w:t>
      </w:r>
    </w:p>
    <w:p>
      <w:r>
        <w:br w:type="page"/>
      </w:r>
    </w:p>
    <w:p>
      <w:pPr>
        <w:pStyle w:val="Heading1"/>
      </w:pPr>
      <w:r>
        <w:t>01 / Planın Çerçevesi</w:t>
      </w:r>
    </w:p>
    <w:p>
      <w:r>
        <w:t>HÜBTAM’ın 2024–2028 dönemi stratejik yaklaşımı; araştırma altyapısını güçlendirme, bilimsel yayın kapasitesini geliştirme, ulusal ve uluslararası projeleri artırma, paydaş iş birliklerini genişletme, eğitim faaliyetlerini destekleme ve kalite güvencesini sürdürülebilir kılma ekseninde yapılandırılmıştır.</w:t>
      </w:r>
    </w:p>
    <w:p>
      <w:pPr>
        <w:pStyle w:val="Heading2"/>
      </w:pPr>
      <w:r>
        <w:t>Stratejik Odak Alanları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7488"/>
      </w:tblGrid>
      <w:tr>
        <w:tc>
          <w:tcPr>
            <w:tcW w:type="dxa" w:w="2088"/>
            <w:shd w:fill="143B57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ALTYAPI</w:t>
            </w:r>
          </w:p>
        </w:tc>
        <w:tc>
          <w:tcPr>
            <w:tcW w:type="dxa" w:w="7488"/>
            <w:shd w:fill="EDF1F4"/>
            <w:vAlign w:val="center"/>
          </w:tcPr>
          <w:p>
            <w:pPr>
              <w:spacing w:after="80" w:before="80"/>
            </w:pPr>
            <w:r>
              <w:rPr>
                <w:sz w:val="18"/>
              </w:rPr>
              <w:t>İleri teknoloji cihaz kapasitesi ve etkin cihaz kullanımı</w:t>
            </w:r>
          </w:p>
        </w:tc>
      </w:tr>
      <w:tr>
        <w:tc>
          <w:tcPr>
            <w:tcW w:type="dxa" w:w="2088"/>
            <w:shd w:fill="143B57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ARAŞTIRMA</w:t>
            </w:r>
          </w:p>
        </w:tc>
        <w:tc>
          <w:tcPr>
            <w:tcW w:type="dxa" w:w="7488"/>
            <w:shd w:fill="F8F9FA"/>
            <w:vAlign w:val="center"/>
          </w:tcPr>
          <w:p>
            <w:pPr>
              <w:spacing w:after="80" w:before="80"/>
            </w:pPr>
            <w:r>
              <w:rPr>
                <w:sz w:val="18"/>
              </w:rPr>
              <w:t>Akademik yayınlar ve disiplinler arası çalışmalar</w:t>
            </w:r>
          </w:p>
        </w:tc>
      </w:tr>
      <w:tr>
        <w:tc>
          <w:tcPr>
            <w:tcW w:type="dxa" w:w="2088"/>
            <w:shd w:fill="143B57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PROJELER</w:t>
            </w:r>
          </w:p>
        </w:tc>
        <w:tc>
          <w:tcPr>
            <w:tcW w:type="dxa" w:w="7488"/>
            <w:shd w:fill="EDF1F4"/>
            <w:vAlign w:val="center"/>
          </w:tcPr>
          <w:p>
            <w:pPr>
              <w:spacing w:after="80" w:before="80"/>
            </w:pPr>
            <w:r>
              <w:rPr>
                <w:sz w:val="18"/>
              </w:rPr>
              <w:t>Ulusal ve uluslararası proje başvuruları</w:t>
            </w:r>
          </w:p>
        </w:tc>
      </w:tr>
      <w:tr>
        <w:tc>
          <w:tcPr>
            <w:tcW w:type="dxa" w:w="2088"/>
            <w:shd w:fill="143B57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İŞ BİRLİĞİ</w:t>
            </w:r>
          </w:p>
        </w:tc>
        <w:tc>
          <w:tcPr>
            <w:tcW w:type="dxa" w:w="7488"/>
            <w:shd w:fill="F8F9FA"/>
            <w:vAlign w:val="center"/>
          </w:tcPr>
          <w:p>
            <w:pPr>
              <w:spacing w:after="80" w:before="80"/>
            </w:pPr>
            <w:r>
              <w:rPr>
                <w:sz w:val="18"/>
              </w:rPr>
              <w:t>Sanayi ve kamu kurumlarıyla ortak çalışmalar</w:t>
            </w:r>
          </w:p>
        </w:tc>
      </w:tr>
      <w:tr>
        <w:tc>
          <w:tcPr>
            <w:tcW w:type="dxa" w:w="2088"/>
            <w:shd w:fill="143B57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EĞİTİM</w:t>
            </w:r>
          </w:p>
        </w:tc>
        <w:tc>
          <w:tcPr>
            <w:tcW w:type="dxa" w:w="7488"/>
            <w:shd w:fill="EDF1F4"/>
            <w:vAlign w:val="center"/>
          </w:tcPr>
          <w:p>
            <w:pPr>
              <w:spacing w:after="80" w:before="80"/>
            </w:pPr>
            <w:r>
              <w:rPr>
                <w:sz w:val="18"/>
              </w:rPr>
              <w:t>Bilimsel eğitim, seminer ve genç araştırmacı programları</w:t>
            </w:r>
          </w:p>
        </w:tc>
      </w:tr>
      <w:tr>
        <w:tc>
          <w:tcPr>
            <w:tcW w:type="dxa" w:w="2088"/>
            <w:shd w:fill="143B57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KALİTE</w:t>
            </w:r>
          </w:p>
        </w:tc>
        <w:tc>
          <w:tcPr>
            <w:tcW w:type="dxa" w:w="7488"/>
            <w:shd w:fill="F8F9FA"/>
            <w:vAlign w:val="center"/>
          </w:tcPr>
          <w:p>
            <w:pPr>
              <w:spacing w:after="80" w:before="80"/>
            </w:pPr>
            <w:r>
              <w:rPr>
                <w:sz w:val="18"/>
              </w:rPr>
              <w:t>Akreditasyon, kalite yönetimi ve sürekli iyileştirme</w:t>
            </w:r>
          </w:p>
        </w:tc>
      </w:tr>
    </w:tbl>
    <w:p/>
    <w:p>
      <w:r>
        <w:br w:type="page"/>
      </w:r>
    </w:p>
    <w:p>
      <w:pPr>
        <w:pStyle w:val="Heading1"/>
      </w:pPr>
      <w:r>
        <w:t>02 / Stratejik Amaçlar ve Hedefler</w:t>
      </w:r>
    </w:p>
    <w:p>
      <w:pPr>
        <w:pStyle w:val="Heading2"/>
      </w:pPr>
      <w:r>
        <w:t>Amaç 1 | Araştırma Altyapısını Güçlendirmek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7488"/>
      </w:tblGrid>
      <w:tr>
        <w:tc>
          <w:tcPr>
            <w:tcW w:type="dxa" w:w="2088"/>
            <w:shd w:fill="143B57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Hedef 1.1</w:t>
            </w:r>
          </w:p>
        </w:tc>
        <w:tc>
          <w:tcPr>
            <w:tcW w:type="dxa" w:w="7488"/>
            <w:shd w:fill="EDF1F4"/>
            <w:vAlign w:val="center"/>
          </w:tcPr>
          <w:p>
            <w:pPr>
              <w:spacing w:after="80" w:before="80"/>
            </w:pPr>
            <w:r>
              <w:rPr>
                <w:sz w:val="18"/>
              </w:rPr>
              <w:t>2028 yılı sonuna kadar ileri düzey enstrümantal analiz kapasitesini artırmak amacıyla en az 5 yeni yüksek teknoloji cihazı merkeze kazandırmak.</w:t>
            </w:r>
          </w:p>
        </w:tc>
      </w:tr>
      <w:tr>
        <w:tc>
          <w:tcPr>
            <w:tcW w:type="dxa" w:w="2088"/>
            <w:shd w:fill="143B57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Hedef 1.2</w:t>
            </w:r>
          </w:p>
        </w:tc>
        <w:tc>
          <w:tcPr>
            <w:tcW w:type="dxa" w:w="7488"/>
            <w:shd w:fill="F8F9FA"/>
            <w:vAlign w:val="center"/>
          </w:tcPr>
          <w:p>
            <w:pPr>
              <w:spacing w:after="80" w:before="80"/>
            </w:pPr>
            <w:r>
              <w:rPr>
                <w:sz w:val="18"/>
              </w:rPr>
              <w:t>Cihaz kullanım oranını yıllık bazda %15 artırarak, cihazların etkinliğini ve kapasite kullanımını optimize etmek.</w:t>
            </w:r>
          </w:p>
        </w:tc>
      </w:tr>
    </w:tbl>
    <w:p/>
    <w:p>
      <w:pPr>
        <w:pStyle w:val="Heading2"/>
      </w:pPr>
      <w:r>
        <w:t>Amaç 2 | Bilimsel Araştırma ve Yayın Üretimini Artırmak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7488"/>
      </w:tblGrid>
      <w:tr>
        <w:tc>
          <w:tcPr>
            <w:tcW w:type="dxa" w:w="2088"/>
            <w:shd w:fill="143B57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Hedef 2.1</w:t>
            </w:r>
          </w:p>
        </w:tc>
        <w:tc>
          <w:tcPr>
            <w:tcW w:type="dxa" w:w="7488"/>
            <w:shd w:fill="EDF1F4"/>
            <w:vAlign w:val="center"/>
          </w:tcPr>
          <w:p>
            <w:pPr>
              <w:spacing w:after="80" w:before="80"/>
            </w:pPr>
            <w:r>
              <w:rPr>
                <w:sz w:val="18"/>
              </w:rPr>
              <w:t>HÜBTAM altyapısıyla desteklenen araştırmalardan yılda en az 10 akademik yayın (SCI/SCI-Expanded, Scopus, TR Dizin) çıkmasını sağlamak.</w:t>
            </w:r>
          </w:p>
        </w:tc>
      </w:tr>
      <w:tr>
        <w:tc>
          <w:tcPr>
            <w:tcW w:type="dxa" w:w="2088"/>
            <w:shd w:fill="143B57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Hedef 2.2</w:t>
            </w:r>
          </w:p>
        </w:tc>
        <w:tc>
          <w:tcPr>
            <w:tcW w:type="dxa" w:w="7488"/>
            <w:shd w:fill="F8F9FA"/>
            <w:vAlign w:val="center"/>
          </w:tcPr>
          <w:p>
            <w:pPr>
              <w:spacing w:after="80" w:before="80"/>
            </w:pPr>
            <w:r>
              <w:rPr>
                <w:sz w:val="18"/>
              </w:rPr>
              <w:t>Merkez altyapısıyla yürütülen çalışmaların en az %25’inde çok disiplinli iş birliği modeli uygulanmasını teşvik etmek.</w:t>
            </w:r>
          </w:p>
        </w:tc>
      </w:tr>
    </w:tbl>
    <w:p/>
    <w:p>
      <w:r>
        <w:br w:type="page"/>
      </w:r>
    </w:p>
    <w:p>
      <w:pPr>
        <w:pStyle w:val="Heading1"/>
      </w:pPr>
      <w:r>
        <w:t>02 / Stratejik Amaçlar ve Hedefler</w:t>
      </w:r>
    </w:p>
    <w:p>
      <w:pPr>
        <w:pStyle w:val="Heading2"/>
      </w:pPr>
      <w:r>
        <w:t>Amaç 3 | Ulusal ve Uluslararası Proje Sayısını Artırmak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7488"/>
      </w:tblGrid>
      <w:tr>
        <w:tc>
          <w:tcPr>
            <w:tcW w:type="dxa" w:w="2088"/>
            <w:shd w:fill="143B57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Hedef 3.1</w:t>
            </w:r>
          </w:p>
        </w:tc>
        <w:tc>
          <w:tcPr>
            <w:tcW w:type="dxa" w:w="7488"/>
            <w:shd w:fill="EDF1F4"/>
            <w:vAlign w:val="center"/>
          </w:tcPr>
          <w:p>
            <w:pPr>
              <w:spacing w:after="80" w:before="80"/>
            </w:pPr>
            <w:r>
              <w:rPr>
                <w:sz w:val="18"/>
              </w:rPr>
              <w:t>2028 yılına kadar HÜBTAM destekli en az 5 TÜBİTAK projesi, 5 uluslararası proje (Horizon Europe, COST vb.) başvurusu gerçekleştirmek.</w:t>
            </w:r>
          </w:p>
        </w:tc>
      </w:tr>
      <w:tr>
        <w:tc>
          <w:tcPr>
            <w:tcW w:type="dxa" w:w="2088"/>
            <w:shd w:fill="143B57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Hedef 3.2</w:t>
            </w:r>
          </w:p>
        </w:tc>
        <w:tc>
          <w:tcPr>
            <w:tcW w:type="dxa" w:w="7488"/>
            <w:shd w:fill="F8F9FA"/>
            <w:vAlign w:val="center"/>
          </w:tcPr>
          <w:p>
            <w:pPr>
              <w:spacing w:after="80" w:before="80"/>
            </w:pPr>
            <w:r>
              <w:rPr>
                <w:sz w:val="18"/>
              </w:rPr>
              <w:t>Merkez personelinin yıllık ortalama 2 adet proje eğitimi almasını sağlayarak proje hazırlık kapasitesini artırmak.</w:t>
            </w:r>
          </w:p>
        </w:tc>
      </w:tr>
    </w:tbl>
    <w:p/>
    <w:p>
      <w:pPr>
        <w:pStyle w:val="Heading2"/>
      </w:pPr>
      <w:r>
        <w:t>Amaç 4 | Sanayi ve Kamu ile İş Birliklerini Geliştirmek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7488"/>
      </w:tblGrid>
      <w:tr>
        <w:tc>
          <w:tcPr>
            <w:tcW w:type="dxa" w:w="2088"/>
            <w:shd w:fill="143B57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Hedef 4.1</w:t>
            </w:r>
          </w:p>
        </w:tc>
        <w:tc>
          <w:tcPr>
            <w:tcW w:type="dxa" w:w="7488"/>
            <w:shd w:fill="EDF1F4"/>
            <w:vAlign w:val="center"/>
          </w:tcPr>
          <w:p>
            <w:pPr>
              <w:spacing w:after="80" w:before="80"/>
            </w:pPr>
            <w:r>
              <w:rPr>
                <w:sz w:val="18"/>
              </w:rPr>
              <w:t>2024–2028 döneminde en az 5 sanayi kuruluşu ile teknik iş birliği protokolü imzalamak.</w:t>
            </w:r>
          </w:p>
        </w:tc>
      </w:tr>
      <w:tr>
        <w:tc>
          <w:tcPr>
            <w:tcW w:type="dxa" w:w="2088"/>
            <w:shd w:fill="143B57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Hedef 4.2</w:t>
            </w:r>
          </w:p>
        </w:tc>
        <w:tc>
          <w:tcPr>
            <w:tcW w:type="dxa" w:w="7488"/>
            <w:shd w:fill="F8F9FA"/>
            <w:vAlign w:val="center"/>
          </w:tcPr>
          <w:p>
            <w:pPr>
              <w:spacing w:after="80" w:before="80"/>
            </w:pPr>
            <w:r>
              <w:rPr>
                <w:sz w:val="18"/>
              </w:rPr>
              <w:t>Sanayi ve kamu kuruluşlarına yönelik en az 10 hizmet analizi/danışmanlık hizmeti sunmak.</w:t>
            </w:r>
          </w:p>
        </w:tc>
      </w:tr>
    </w:tbl>
    <w:p/>
    <w:p>
      <w:r>
        <w:br w:type="page"/>
      </w:r>
    </w:p>
    <w:p>
      <w:pPr>
        <w:pStyle w:val="Heading1"/>
      </w:pPr>
      <w:r>
        <w:t>02 / Stratejik Amaçlar ve Hedefler</w:t>
      </w:r>
    </w:p>
    <w:p>
      <w:pPr>
        <w:pStyle w:val="Heading2"/>
      </w:pPr>
      <w:r>
        <w:t>Amaç 5 | Eğitim, Yaygınlaştırma ve Toplumsal Katkıyı Güçlendirmek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7488"/>
      </w:tblGrid>
      <w:tr>
        <w:tc>
          <w:tcPr>
            <w:tcW w:type="dxa" w:w="2088"/>
            <w:shd w:fill="143B57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Hedef 5.1</w:t>
            </w:r>
          </w:p>
        </w:tc>
        <w:tc>
          <w:tcPr>
            <w:tcW w:type="dxa" w:w="7488"/>
            <w:shd w:fill="EDF1F4"/>
            <w:vAlign w:val="center"/>
          </w:tcPr>
          <w:p>
            <w:pPr>
              <w:spacing w:after="80" w:before="80"/>
            </w:pPr>
            <w:r>
              <w:rPr>
                <w:sz w:val="18"/>
              </w:rPr>
              <w:t>Yılda en az 2 bilimsel eğitim/seminer/çalıştay düzenleyerek araştırmacı kapasitesini desteklemek.</w:t>
            </w:r>
          </w:p>
        </w:tc>
      </w:tr>
      <w:tr>
        <w:tc>
          <w:tcPr>
            <w:tcW w:type="dxa" w:w="2088"/>
            <w:shd w:fill="143B57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Hedef 5.2</w:t>
            </w:r>
          </w:p>
        </w:tc>
        <w:tc>
          <w:tcPr>
            <w:tcW w:type="dxa" w:w="7488"/>
            <w:shd w:fill="F8F9FA"/>
            <w:vAlign w:val="center"/>
          </w:tcPr>
          <w:p>
            <w:pPr>
              <w:spacing w:after="80" w:before="80"/>
            </w:pPr>
            <w:r>
              <w:rPr>
                <w:sz w:val="18"/>
              </w:rPr>
              <w:t>Lise, lisans ve lisansüstü öğrencilerine yönelik yıllık bilim kampı, tanıtım ve staj programları düzenleyerek genç araştırmacı yetişmesine katkı sağlamak.</w:t>
            </w:r>
          </w:p>
        </w:tc>
      </w:tr>
    </w:tbl>
    <w:p/>
    <w:p>
      <w:pPr>
        <w:pStyle w:val="Heading2"/>
      </w:pPr>
      <w:r>
        <w:t>Amaç 6 | Kalite Güvencesi ve Kurumsal Sürdürülebilirliği Sağlamak</w:t>
      </w:r>
    </w:p>
    <w:p>
      <w:r>
        <w:t>Görselde bu amacın altındaki hedeflerin bir kısmı ekran çubuğu nedeniyle kapalıdır. Tam metin teyit edildiğinde Hedef 6.1 ve Hedef 6.2 buraya eklenmelidir.</w:t>
      </w:r>
    </w:p>
    <w:p>
      <w:r>
        <w:br w:type="page"/>
      </w:r>
    </w:p>
    <w:p>
      <w:pPr>
        <w:pStyle w:val="Heading1"/>
      </w:pPr>
      <w:r>
        <w:t>03 / Stratejik Öncelikler</w:t>
      </w:r>
    </w:p>
    <w:p>
      <w:pPr>
        <w:pStyle w:val="Heading2"/>
      </w:pPr>
      <w:r>
        <w:t>Kısa Vadeli | 1–2 Yıl</w:t>
      </w:r>
    </w:p>
    <w:p>
      <w:pPr>
        <w:pStyle w:val="ListBullet"/>
      </w:pPr>
      <w:r>
        <w:t>Laboratuvar akreditasyon süreçlerini tamamlamak</w:t>
      </w:r>
    </w:p>
    <w:p>
      <w:pPr>
        <w:pStyle w:val="ListBullet"/>
      </w:pPr>
      <w:r>
        <w:t>En az 5 sanayi iş birliği projesi başlatmak</w:t>
      </w:r>
    </w:p>
    <w:p>
      <w:pPr>
        <w:pStyle w:val="ListBullet"/>
      </w:pPr>
      <w:r>
        <w:t>Ulusal fonlardan proje sayısını ikiye katlamak</w:t>
      </w:r>
    </w:p>
    <w:p>
      <w:pPr>
        <w:pStyle w:val="Heading2"/>
      </w:pPr>
      <w:r>
        <w:t>Orta Vadeli | 3–5 Yıl</w:t>
      </w:r>
    </w:p>
    <w:p>
      <w:pPr>
        <w:pStyle w:val="ListBullet"/>
      </w:pPr>
      <w:r>
        <w:t>Uluslararası araştırma ağlarına entegrasyon</w:t>
      </w:r>
    </w:p>
    <w:p>
      <w:pPr>
        <w:pStyle w:val="ListBullet"/>
      </w:pPr>
      <w:r>
        <w:t>Yüksek teknoloji girişimlerini destekleme</w:t>
      </w:r>
    </w:p>
    <w:p>
      <w:pPr>
        <w:pStyle w:val="ListBullet"/>
      </w:pPr>
      <w:r>
        <w:t>Bölgesel inovasyon merkezi hâline gelme</w:t>
      </w:r>
    </w:p>
    <w:p>
      <w:pPr>
        <w:pStyle w:val="Heading2"/>
      </w:pPr>
      <w:r>
        <w:t>Uzun Vadeli | 5+ Yıl</w:t>
      </w:r>
    </w:p>
    <w:p>
      <w:pPr>
        <w:pStyle w:val="ListBullet"/>
      </w:pPr>
      <w:r>
        <w:t>Avrupa araştırma projelerinde liderlik</w:t>
      </w:r>
    </w:p>
    <w:p>
      <w:pPr>
        <w:pStyle w:val="ListBullet"/>
      </w:pPr>
      <w:r>
        <w:t>Teknopark iş birliği ile ticarileşme</w:t>
      </w:r>
    </w:p>
    <w:p>
      <w:pPr>
        <w:pStyle w:val="ListBullet"/>
      </w:pPr>
      <w:r>
        <w:t>Uluslararası referans laboratuvar statüsü</w:t>
      </w:r>
    </w:p>
    <w:p>
      <w:r>
        <w:br w:type="page"/>
      </w:r>
    </w:p>
    <w:p>
      <w:pPr>
        <w:pStyle w:val="Heading1"/>
      </w:pPr>
      <w:r>
        <w:t>04 / İş Birlikleri Stratejisi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7488"/>
      </w:tblGrid>
      <w:tr>
        <w:tc>
          <w:tcPr>
            <w:tcW w:type="dxa" w:w="2088"/>
            <w:shd w:fill="143B57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ÜNİVERSİTE–SANAYİ</w:t>
            </w:r>
          </w:p>
        </w:tc>
        <w:tc>
          <w:tcPr>
            <w:tcW w:type="dxa" w:w="7488"/>
            <w:shd w:fill="EDF1F4"/>
            <w:vAlign w:val="center"/>
          </w:tcPr>
          <w:p>
            <w:pPr>
              <w:spacing w:after="80" w:before="80"/>
            </w:pPr>
            <w:r>
              <w:rPr>
                <w:sz w:val="18"/>
              </w:rPr>
              <w:t>Organize sanayi bölgeleri (OSB) ile protokoller.</w:t>
            </w:r>
          </w:p>
        </w:tc>
      </w:tr>
      <w:tr>
        <w:tc>
          <w:tcPr>
            <w:tcW w:type="dxa" w:w="2088"/>
            <w:shd w:fill="143B57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ULUSLARARASI</w:t>
            </w:r>
          </w:p>
        </w:tc>
        <w:tc>
          <w:tcPr>
            <w:tcW w:type="dxa" w:w="7488"/>
            <w:shd w:fill="F8F9FA"/>
            <w:vAlign w:val="center"/>
          </w:tcPr>
          <w:p>
            <w:pPr>
              <w:spacing w:after="80" w:before="80"/>
            </w:pPr>
            <w:r>
              <w:rPr>
                <w:sz w:val="18"/>
              </w:rPr>
              <w:t>Erasmus+ ve Horizon Europe çerçevesinde iş birlikleri.</w:t>
            </w:r>
          </w:p>
        </w:tc>
      </w:tr>
      <w:tr>
        <w:tc>
          <w:tcPr>
            <w:tcW w:type="dxa" w:w="2088"/>
            <w:shd w:fill="143B57"/>
            <w:vAlign w:val="center"/>
          </w:tcPr>
          <w:p>
            <w:pPr>
              <w:spacing w:after="80" w:before="80"/>
            </w:pPr>
            <w:r>
              <w:rPr>
                <w:b/>
                <w:color w:val="FFFFFF"/>
                <w:sz w:val="18"/>
              </w:rPr>
              <w:t>KAMU</w:t>
            </w:r>
          </w:p>
        </w:tc>
        <w:tc>
          <w:tcPr>
            <w:tcW w:type="dxa" w:w="7488"/>
            <w:shd w:fill="EDF1F4"/>
            <w:vAlign w:val="center"/>
          </w:tcPr>
          <w:p>
            <w:pPr>
              <w:spacing w:after="80" w:before="80"/>
            </w:pPr>
            <w:r>
              <w:rPr>
                <w:sz w:val="18"/>
              </w:rPr>
              <w:t>TÜBİTAK, Tarım Bakanlığı ve Sağlık Bakanlığı ile çalışmalar.</w:t>
            </w:r>
          </w:p>
        </w:tc>
      </w:tr>
    </w:tbl>
    <w:p/>
    <w:p>
      <w:r>
        <w:t>Bu alan, merkezin dış paydaşlarla araştırma, analiz hizmeti ve ortak proje geliştirme kapasitesini güçlendirmeye yöneliktir.</w:t>
      </w:r>
    </w:p>
    <w:p>
      <w:r>
        <w:br w:type="page"/>
      </w:r>
    </w:p>
    <w:p>
      <w:pPr>
        <w:pStyle w:val="Heading1"/>
      </w:pPr>
      <w:r>
        <w:t>05 / Yenilikçilik Stratejisi</w:t>
      </w:r>
    </w:p>
    <w:p>
      <w:pPr>
        <w:pStyle w:val="ListBullet"/>
      </w:pPr>
      <w:r>
        <w:t>Yapay zekâ destekli analiz yöntemleri</w:t>
      </w:r>
    </w:p>
    <w:p>
      <w:pPr>
        <w:pStyle w:val="ListBullet"/>
      </w:pPr>
      <w:r>
        <w:t>Dijital ikiz teknolojileri</w:t>
      </w:r>
    </w:p>
    <w:p>
      <w:pPr>
        <w:pStyle w:val="ListBullet"/>
      </w:pPr>
      <w:r>
        <w:t>Sürdürülebilir ve yeşil teknolojiler</w:t>
      </w:r>
    </w:p>
    <w:p>
      <w:r>
        <w:t>Yenilikçilik başlıkları, merkezin teknolojik gelişmelere uyumunu ve araştırma altyapısının ileri yöntemlerle desteklenmesini esas almaktadır.</w:t>
      </w:r>
    </w:p>
    <w:p>
      <w:r>
        <w:br w:type="page"/>
      </w:r>
    </w:p>
    <w:p>
      <w:pPr>
        <w:pStyle w:val="Heading1"/>
      </w:pPr>
      <w:r>
        <w:t>06 / Kalite Stratejisi</w:t>
      </w:r>
    </w:p>
    <w:p>
      <w:pPr>
        <w:pStyle w:val="ListBullet"/>
      </w:pPr>
      <w:r>
        <w:t>ISO/IEC 17025 akreditasyonu</w:t>
      </w:r>
    </w:p>
    <w:p>
      <w:pPr>
        <w:pStyle w:val="ListBullet"/>
      </w:pPr>
      <w:r>
        <w:t>Sürekli iyileştirme kültürü</w:t>
      </w:r>
    </w:p>
    <w:p>
      <w:pPr>
        <w:pStyle w:val="ListBullet"/>
      </w:pPr>
      <w:r>
        <w:t>Kalite yönetim sistemi</w:t>
      </w:r>
    </w:p>
    <w:p>
      <w:r>
        <w:t>Kalite yaklaşımı; analiz süreçlerinin güvenilirliği, izlenebilirlik ve kurumsal gelişim ilkeleri çerçevesinde ele alınmaktadır.</w:t>
      </w:r>
    </w:p>
    <w:p>
      <w:pPr>
        <w:pStyle w:val="Heading2"/>
      </w:pPr>
      <w:r>
        <w:t>Belge Notu</w:t>
      </w:r>
    </w:p>
    <w:p>
      <w:r>
        <w:t>HÜBTAM stratejik hedeflerinin ilk beş amaç altındaki ifadeleri ve diğer strateji maddeleri kullanıcı tarafından gönderilen ekran görüntülerindeki metne sadık kalınarak düzenlenmiştir. Amaç 6’nın görüntüde kapalı kalan hedefleri doğrulanmadan tamamlanmamıştır.</w:t>
      </w:r>
    </w:p>
    <w:p>
      <w:r>
        <w:t>Tasarım referansı: Harran Üniversitesi 2024–2028 Stratejik Planı (kurumsal yapı ve rapor düzeni).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224" w:right="1037" w:bottom="1008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HÜBTAM  •  STRATEJİK PLAN 2024–2028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jc w:val="right"/>
    </w:pPr>
    <w:r>
      <w:rPr>
        <w:color w:val="143B57"/>
      </w:rPr>
      <w:t>HARRAN ÜNİVERSİTESİ  /  HÜBTAM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545C6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3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43B5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43B5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